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B115" w14:textId="6BB88648" w:rsidR="00E725A2" w:rsidRPr="00F12251" w:rsidRDefault="00E725A2" w:rsidP="00E725A2">
      <w:pPr>
        <w:jc w:val="left"/>
        <w:rPr>
          <w:rFonts w:ascii="Arial Narrow" w:hAnsi="Arial Narrow"/>
          <w:bCs/>
          <w:szCs w:val="24"/>
        </w:rPr>
      </w:pPr>
      <w:r w:rsidRPr="00F12251">
        <w:rPr>
          <w:rFonts w:ascii="Arial Narrow" w:hAnsi="Arial Narrow"/>
          <w:bCs/>
          <w:szCs w:val="24"/>
        </w:rPr>
        <w:t>[</w:t>
      </w:r>
      <w:r w:rsidRPr="00F12251">
        <w:rPr>
          <w:rFonts w:ascii="Arial Narrow" w:hAnsi="Arial Narrow"/>
          <w:bCs/>
          <w:szCs w:val="24"/>
        </w:rPr>
        <w:t>Prénom du Consommateur] [</w:t>
      </w:r>
      <w:r w:rsidRPr="00F12251">
        <w:rPr>
          <w:rFonts w:ascii="Arial Narrow" w:hAnsi="Arial Narrow"/>
          <w:bCs/>
          <w:szCs w:val="24"/>
        </w:rPr>
        <w:t>NOM</w:t>
      </w:r>
      <w:r w:rsidRPr="00F12251">
        <w:rPr>
          <w:rFonts w:ascii="Arial Narrow" w:hAnsi="Arial Narrow"/>
          <w:bCs/>
          <w:szCs w:val="24"/>
        </w:rPr>
        <w:t>]</w:t>
      </w:r>
      <w:r w:rsidRPr="00F12251">
        <w:rPr>
          <w:rFonts w:ascii="Arial Narrow" w:hAnsi="Arial Narrow"/>
          <w:bCs/>
          <w:szCs w:val="24"/>
        </w:rPr>
        <w:t xml:space="preserve"> </w:t>
      </w:r>
    </w:p>
    <w:p w14:paraId="0866C535" w14:textId="3CFB7C4A" w:rsidR="00E725A2" w:rsidRPr="00F12251" w:rsidRDefault="00E725A2" w:rsidP="00E725A2">
      <w:pPr>
        <w:jc w:val="left"/>
        <w:rPr>
          <w:rFonts w:ascii="Arial Narrow" w:hAnsi="Arial Narrow"/>
          <w:bCs/>
          <w:szCs w:val="24"/>
        </w:rPr>
      </w:pPr>
      <w:r w:rsidRPr="00F12251">
        <w:rPr>
          <w:rFonts w:ascii="Arial Narrow" w:hAnsi="Arial Narrow"/>
          <w:bCs/>
          <w:szCs w:val="24"/>
        </w:rPr>
        <w:t>[ADRESSE</w:t>
      </w:r>
      <w:r w:rsidRPr="00F12251">
        <w:rPr>
          <w:rFonts w:ascii="Arial Narrow" w:hAnsi="Arial Narrow"/>
          <w:bCs/>
          <w:szCs w:val="24"/>
        </w:rPr>
        <w:t xml:space="preserve"> du CONSOMMATEUR</w:t>
      </w:r>
      <w:r w:rsidRPr="00F12251">
        <w:rPr>
          <w:rFonts w:ascii="Arial Narrow" w:hAnsi="Arial Narrow"/>
          <w:bCs/>
          <w:szCs w:val="24"/>
        </w:rPr>
        <w:t>]</w:t>
      </w:r>
    </w:p>
    <w:p w14:paraId="0015A97C" w14:textId="77777777" w:rsidR="00E725A2" w:rsidRPr="00F12251" w:rsidRDefault="00E725A2" w:rsidP="00E725A2">
      <w:pPr>
        <w:jc w:val="left"/>
        <w:rPr>
          <w:rFonts w:ascii="Arial Narrow" w:hAnsi="Arial Narrow"/>
          <w:bCs/>
          <w:szCs w:val="24"/>
        </w:rPr>
      </w:pPr>
      <w:r w:rsidRPr="00F12251">
        <w:rPr>
          <w:rFonts w:ascii="Arial Narrow" w:hAnsi="Arial Narrow"/>
          <w:bCs/>
          <w:szCs w:val="24"/>
        </w:rPr>
        <w:t>[CODE POSTAL</w:t>
      </w:r>
      <w:r w:rsidRPr="00F12251">
        <w:rPr>
          <w:rFonts w:ascii="Arial Narrow" w:hAnsi="Arial Narrow"/>
          <w:bCs/>
          <w:szCs w:val="24"/>
        </w:rPr>
        <w:t>]</w:t>
      </w:r>
      <w:r w:rsidRPr="00F12251">
        <w:rPr>
          <w:rFonts w:ascii="Arial Narrow" w:hAnsi="Arial Narrow"/>
          <w:bCs/>
          <w:szCs w:val="24"/>
        </w:rPr>
        <w:t xml:space="preserve"> </w:t>
      </w:r>
      <w:r w:rsidRPr="00F12251">
        <w:rPr>
          <w:rFonts w:ascii="Arial Narrow" w:hAnsi="Arial Narrow"/>
          <w:bCs/>
          <w:szCs w:val="24"/>
        </w:rPr>
        <w:t>[</w:t>
      </w:r>
      <w:r w:rsidRPr="00F12251">
        <w:rPr>
          <w:rFonts w:ascii="Arial Narrow" w:hAnsi="Arial Narrow"/>
          <w:bCs/>
          <w:szCs w:val="24"/>
        </w:rPr>
        <w:t>VILLE]</w:t>
      </w:r>
    </w:p>
    <w:p w14:paraId="638B7CAB" w14:textId="77777777" w:rsidR="00E725A2" w:rsidRPr="00F12251" w:rsidRDefault="00E725A2" w:rsidP="00E725A2">
      <w:pPr>
        <w:jc w:val="left"/>
        <w:rPr>
          <w:rFonts w:ascii="Arial Narrow" w:hAnsi="Arial Narrow"/>
          <w:bCs/>
          <w:szCs w:val="24"/>
        </w:rPr>
      </w:pPr>
      <w:r w:rsidRPr="00F12251">
        <w:rPr>
          <w:rFonts w:ascii="Arial Narrow" w:hAnsi="Arial Narrow"/>
          <w:bCs/>
          <w:szCs w:val="24"/>
        </w:rPr>
        <w:t xml:space="preserve">Mail : [VOTRE ADRESSE </w:t>
      </w:r>
      <w:proofErr w:type="gramStart"/>
      <w:r w:rsidRPr="00F12251">
        <w:rPr>
          <w:rFonts w:ascii="Arial Narrow" w:hAnsi="Arial Narrow"/>
          <w:bCs/>
          <w:szCs w:val="24"/>
        </w:rPr>
        <w:t>MAIL</w:t>
      </w:r>
      <w:proofErr w:type="gramEnd"/>
      <w:r w:rsidRPr="00F12251">
        <w:rPr>
          <w:rFonts w:ascii="Arial Narrow" w:hAnsi="Arial Narrow"/>
          <w:bCs/>
          <w:szCs w:val="24"/>
        </w:rPr>
        <w:t>]</w:t>
      </w:r>
    </w:p>
    <w:p w14:paraId="591FA07C" w14:textId="0D565E86" w:rsidR="00847AB0" w:rsidRPr="00F12251" w:rsidRDefault="00E725A2" w:rsidP="00E725A2">
      <w:pPr>
        <w:jc w:val="left"/>
        <w:rPr>
          <w:rFonts w:ascii="Arial Narrow" w:hAnsi="Arial Narrow"/>
          <w:b/>
          <w:szCs w:val="24"/>
        </w:rPr>
      </w:pPr>
      <w:r w:rsidRPr="00F12251">
        <w:rPr>
          <w:rFonts w:ascii="Arial Narrow" w:hAnsi="Arial Narrow"/>
          <w:bCs/>
          <w:szCs w:val="24"/>
        </w:rPr>
        <w:t>Tél : [VOTRE NUMERO DE TELEPHONE]</w:t>
      </w:r>
      <w:r w:rsidRPr="00F12251">
        <w:rPr>
          <w:rFonts w:ascii="Arial Narrow" w:hAnsi="Arial Narrow"/>
          <w:bCs/>
          <w:szCs w:val="24"/>
        </w:rPr>
        <w:tab/>
      </w:r>
      <w:r w:rsidRPr="00F12251">
        <w:rPr>
          <w:rFonts w:ascii="Arial Narrow" w:hAnsi="Arial Narrow"/>
          <w:szCs w:val="24"/>
        </w:rPr>
        <w:tab/>
      </w:r>
      <w:r w:rsidRPr="00F12251">
        <w:rPr>
          <w:rFonts w:ascii="Arial Narrow" w:hAnsi="Arial Narrow"/>
          <w:szCs w:val="24"/>
        </w:rPr>
        <w:tab/>
      </w:r>
      <w:r w:rsidRPr="00F12251">
        <w:rPr>
          <w:rFonts w:ascii="Arial Narrow" w:hAnsi="Arial Narrow"/>
          <w:szCs w:val="24"/>
        </w:rPr>
        <w:tab/>
      </w:r>
    </w:p>
    <w:p w14:paraId="5B351E92" w14:textId="77777777" w:rsidR="00847AB0" w:rsidRPr="00F12251" w:rsidRDefault="00847AB0" w:rsidP="00847AB0">
      <w:pPr>
        <w:ind w:left="4956"/>
        <w:rPr>
          <w:rFonts w:ascii="Arial Narrow" w:hAnsi="Arial Narrow"/>
          <w:b/>
          <w:szCs w:val="24"/>
        </w:rPr>
      </w:pPr>
    </w:p>
    <w:p w14:paraId="105BE23A" w14:textId="77777777" w:rsidR="001574A5" w:rsidRPr="00F12251" w:rsidRDefault="001574A5" w:rsidP="00847AB0">
      <w:pPr>
        <w:ind w:left="4956"/>
        <w:rPr>
          <w:rFonts w:ascii="Arial Narrow" w:hAnsi="Arial Narrow"/>
          <w:b/>
          <w:szCs w:val="24"/>
        </w:rPr>
      </w:pPr>
      <w:bookmarkStart w:id="0" w:name="_Hlk62203490"/>
      <w:r w:rsidRPr="00F12251">
        <w:rPr>
          <w:rFonts w:ascii="Arial Narrow" w:hAnsi="Arial Narrow"/>
          <w:b/>
          <w:szCs w:val="24"/>
        </w:rPr>
        <w:t>DGCCRF</w:t>
      </w:r>
    </w:p>
    <w:p w14:paraId="019F4275" w14:textId="77777777" w:rsidR="001574A5" w:rsidRPr="00F12251" w:rsidRDefault="001574A5" w:rsidP="00847AB0">
      <w:pPr>
        <w:ind w:left="4956"/>
        <w:rPr>
          <w:rFonts w:ascii="Arial Narrow" w:hAnsi="Arial Narrow"/>
          <w:b/>
          <w:szCs w:val="24"/>
        </w:rPr>
      </w:pPr>
      <w:r w:rsidRPr="00F12251">
        <w:rPr>
          <w:rFonts w:ascii="Arial Narrow" w:hAnsi="Arial Narrow"/>
          <w:b/>
          <w:szCs w:val="24"/>
        </w:rPr>
        <w:t>Réponse</w:t>
      </w:r>
      <w:r w:rsidRPr="00F12251">
        <w:rPr>
          <w:rFonts w:ascii="Arial Narrow" w:hAnsi="Arial Narrow"/>
          <w:b/>
          <w:szCs w:val="24"/>
        </w:rPr>
        <w:t xml:space="preserve"> </w:t>
      </w:r>
      <w:r w:rsidRPr="00F12251">
        <w:rPr>
          <w:rFonts w:ascii="Arial Narrow" w:hAnsi="Arial Narrow"/>
          <w:b/>
          <w:szCs w:val="24"/>
        </w:rPr>
        <w:t>Conso</w:t>
      </w:r>
    </w:p>
    <w:p w14:paraId="31751112" w14:textId="77777777" w:rsidR="001574A5" w:rsidRPr="00F12251" w:rsidRDefault="001574A5" w:rsidP="00847AB0">
      <w:pPr>
        <w:ind w:left="4956"/>
        <w:rPr>
          <w:rFonts w:ascii="Arial Narrow" w:hAnsi="Arial Narrow"/>
          <w:b/>
          <w:szCs w:val="24"/>
        </w:rPr>
      </w:pPr>
      <w:r w:rsidRPr="00F12251">
        <w:rPr>
          <w:rFonts w:ascii="Arial Narrow" w:hAnsi="Arial Narrow"/>
          <w:b/>
          <w:szCs w:val="24"/>
        </w:rPr>
        <w:t>B.P.60</w:t>
      </w:r>
    </w:p>
    <w:p w14:paraId="0CCFBA5C" w14:textId="5332ED42" w:rsidR="00847AB0" w:rsidRPr="00F12251" w:rsidRDefault="001574A5" w:rsidP="001702E2">
      <w:pPr>
        <w:ind w:left="4956"/>
        <w:rPr>
          <w:rFonts w:ascii="Arial Narrow" w:hAnsi="Arial Narrow"/>
          <w:szCs w:val="24"/>
        </w:rPr>
      </w:pPr>
      <w:r w:rsidRPr="00F12251">
        <w:rPr>
          <w:rFonts w:ascii="Arial Narrow" w:hAnsi="Arial Narrow"/>
          <w:b/>
          <w:szCs w:val="24"/>
        </w:rPr>
        <w:t xml:space="preserve">34935 Montpellier </w:t>
      </w:r>
      <w:r w:rsidRPr="00F12251">
        <w:rPr>
          <w:rFonts w:ascii="Arial Narrow" w:hAnsi="Arial Narrow"/>
          <w:b/>
          <w:szCs w:val="24"/>
        </w:rPr>
        <w:t>cé</w:t>
      </w:r>
      <w:r w:rsidRPr="00F12251">
        <w:rPr>
          <w:rFonts w:ascii="Arial Narrow" w:hAnsi="Arial Narrow"/>
          <w:b/>
          <w:szCs w:val="24"/>
        </w:rPr>
        <w:t xml:space="preserve">dex </w:t>
      </w:r>
      <w:r w:rsidRPr="00F12251">
        <w:rPr>
          <w:rFonts w:ascii="Arial Narrow" w:hAnsi="Arial Narrow"/>
          <w:b/>
          <w:szCs w:val="24"/>
        </w:rPr>
        <w:t>0</w:t>
      </w:r>
      <w:r w:rsidRPr="00F12251">
        <w:rPr>
          <w:rFonts w:ascii="Arial Narrow" w:hAnsi="Arial Narrow"/>
          <w:b/>
          <w:szCs w:val="24"/>
        </w:rPr>
        <w:t>9</w:t>
      </w:r>
      <w:r w:rsidR="00847AB0" w:rsidRPr="00F12251">
        <w:rPr>
          <w:rFonts w:ascii="Arial Narrow" w:hAnsi="Arial Narrow"/>
          <w:szCs w:val="24"/>
        </w:rPr>
        <w:tab/>
      </w:r>
      <w:r w:rsidR="00847AB0" w:rsidRPr="00F12251">
        <w:rPr>
          <w:rFonts w:ascii="Arial Narrow" w:hAnsi="Arial Narrow"/>
          <w:szCs w:val="24"/>
        </w:rPr>
        <w:tab/>
      </w:r>
      <w:r w:rsidR="00847AB0" w:rsidRPr="00F12251">
        <w:rPr>
          <w:rFonts w:ascii="Arial Narrow" w:hAnsi="Arial Narrow"/>
          <w:szCs w:val="24"/>
        </w:rPr>
        <w:tab/>
      </w:r>
      <w:r w:rsidR="00847AB0" w:rsidRPr="00F12251">
        <w:rPr>
          <w:rFonts w:ascii="Arial Narrow" w:hAnsi="Arial Narrow"/>
          <w:szCs w:val="24"/>
        </w:rPr>
        <w:tab/>
      </w:r>
      <w:r w:rsidR="00847AB0" w:rsidRPr="00F12251">
        <w:rPr>
          <w:rFonts w:ascii="Arial Narrow" w:hAnsi="Arial Narrow"/>
          <w:szCs w:val="24"/>
        </w:rPr>
        <w:tab/>
      </w:r>
      <w:r w:rsidR="00847AB0" w:rsidRPr="00F12251">
        <w:rPr>
          <w:rFonts w:ascii="Arial Narrow" w:hAnsi="Arial Narrow"/>
          <w:szCs w:val="24"/>
        </w:rPr>
        <w:tab/>
      </w:r>
      <w:r w:rsidR="00847AB0" w:rsidRPr="00F12251">
        <w:rPr>
          <w:rFonts w:ascii="Arial Narrow" w:hAnsi="Arial Narrow"/>
          <w:szCs w:val="24"/>
        </w:rPr>
        <w:tab/>
      </w:r>
    </w:p>
    <w:p w14:paraId="182D102D" w14:textId="42CD50B6" w:rsidR="00847AB0" w:rsidRPr="00F12251" w:rsidRDefault="00847AB0" w:rsidP="00847AB0">
      <w:pPr>
        <w:ind w:left="708"/>
        <w:rPr>
          <w:rFonts w:ascii="Arial Narrow" w:hAnsi="Arial Narrow"/>
          <w:i/>
          <w:sz w:val="20"/>
        </w:rPr>
      </w:pPr>
      <w:r w:rsidRPr="00F12251">
        <w:rPr>
          <w:rFonts w:ascii="Arial Narrow" w:hAnsi="Arial Narrow"/>
          <w:szCs w:val="24"/>
        </w:rPr>
        <w:tab/>
      </w:r>
      <w:r w:rsidRPr="00F12251">
        <w:rPr>
          <w:rFonts w:ascii="Arial Narrow" w:hAnsi="Arial Narrow"/>
          <w:szCs w:val="24"/>
        </w:rPr>
        <w:tab/>
      </w:r>
      <w:r w:rsidRPr="00F12251">
        <w:rPr>
          <w:rFonts w:ascii="Arial Narrow" w:hAnsi="Arial Narrow"/>
          <w:szCs w:val="24"/>
        </w:rPr>
        <w:tab/>
      </w:r>
      <w:r w:rsidRPr="00F12251">
        <w:rPr>
          <w:rFonts w:ascii="Arial Narrow" w:hAnsi="Arial Narrow"/>
          <w:szCs w:val="24"/>
        </w:rPr>
        <w:tab/>
      </w:r>
      <w:r w:rsidRPr="00F12251">
        <w:rPr>
          <w:rFonts w:ascii="Arial Narrow" w:hAnsi="Arial Narrow"/>
          <w:szCs w:val="24"/>
        </w:rPr>
        <w:tab/>
      </w:r>
      <w:r w:rsidRPr="00F12251">
        <w:rPr>
          <w:rFonts w:ascii="Arial Narrow" w:hAnsi="Arial Narrow"/>
          <w:szCs w:val="24"/>
        </w:rPr>
        <w:tab/>
        <w:t>[</w:t>
      </w:r>
      <w:r w:rsidRPr="00F12251">
        <w:rPr>
          <w:rFonts w:ascii="Arial Narrow" w:hAnsi="Arial Narrow"/>
          <w:i/>
          <w:sz w:val="20"/>
        </w:rPr>
        <w:t xml:space="preserve">VILLE], le </w:t>
      </w:r>
      <w:r w:rsidR="00E725A2" w:rsidRPr="00F12251">
        <w:rPr>
          <w:rFonts w:ascii="Arial Narrow" w:hAnsi="Arial Narrow"/>
          <w:i/>
          <w:sz w:val="20"/>
        </w:rPr>
        <w:t xml:space="preserve">[DATE </w:t>
      </w:r>
      <w:r w:rsidRPr="00F12251">
        <w:rPr>
          <w:rFonts w:ascii="Arial Narrow" w:hAnsi="Arial Narrow"/>
          <w:i/>
          <w:sz w:val="20"/>
        </w:rPr>
        <w:t>samedi 14 janvier 2023</w:t>
      </w:r>
      <w:r w:rsidR="00E725A2" w:rsidRPr="00F12251">
        <w:rPr>
          <w:rFonts w:ascii="Arial Narrow" w:hAnsi="Arial Narrow"/>
          <w:i/>
          <w:sz w:val="20"/>
        </w:rPr>
        <w:t>]</w:t>
      </w:r>
    </w:p>
    <w:p w14:paraId="13D23D08" w14:textId="77777777" w:rsidR="00847AB0" w:rsidRPr="00F12251" w:rsidRDefault="00847AB0" w:rsidP="00847AB0">
      <w:pPr>
        <w:rPr>
          <w:rFonts w:ascii="Arial Narrow" w:hAnsi="Arial Narrow"/>
          <w:szCs w:val="24"/>
        </w:rPr>
      </w:pPr>
    </w:p>
    <w:p w14:paraId="037C159B" w14:textId="5CDE175C" w:rsidR="00847AB0" w:rsidRPr="00F12251" w:rsidRDefault="00847AB0" w:rsidP="00847AB0">
      <w:pPr>
        <w:rPr>
          <w:rFonts w:ascii="Arial Narrow" w:hAnsi="Arial Narrow"/>
          <w:b/>
          <w:szCs w:val="24"/>
          <w:lang w:val="en-US"/>
        </w:rPr>
      </w:pPr>
      <w:r w:rsidRPr="00F12251">
        <w:rPr>
          <w:rFonts w:ascii="Arial Narrow" w:hAnsi="Arial Narrow"/>
          <w:b/>
          <w:szCs w:val="24"/>
          <w:lang w:val="en-US"/>
        </w:rPr>
        <w:t xml:space="preserve">LR AR </w:t>
      </w:r>
      <w:r w:rsidR="00E725A2" w:rsidRPr="00F12251">
        <w:rPr>
          <w:rFonts w:ascii="Arial Narrow" w:hAnsi="Arial Narrow"/>
          <w:b/>
          <w:szCs w:val="24"/>
          <w:lang w:val="en-US"/>
        </w:rPr>
        <w:t xml:space="preserve">n°: </w:t>
      </w:r>
      <w:r w:rsidRPr="00F12251">
        <w:rPr>
          <w:rFonts w:ascii="Arial Narrow" w:hAnsi="Arial Narrow"/>
          <w:b/>
          <w:szCs w:val="24"/>
          <w:lang w:val="en-US"/>
        </w:rPr>
        <w:t xml:space="preserve">[1A XXX </w:t>
      </w:r>
      <w:proofErr w:type="spellStart"/>
      <w:r w:rsidRPr="00F12251">
        <w:rPr>
          <w:rFonts w:ascii="Arial Narrow" w:hAnsi="Arial Narrow"/>
          <w:b/>
          <w:szCs w:val="24"/>
          <w:lang w:val="en-US"/>
        </w:rPr>
        <w:t>XXX</w:t>
      </w:r>
      <w:proofErr w:type="spellEnd"/>
      <w:r w:rsidRPr="00F12251">
        <w:rPr>
          <w:rFonts w:ascii="Arial Narrow" w:hAnsi="Arial Narrow"/>
          <w:b/>
          <w:szCs w:val="24"/>
          <w:lang w:val="en-US"/>
        </w:rPr>
        <w:t xml:space="preserve"> XXXX]</w:t>
      </w:r>
    </w:p>
    <w:p w14:paraId="4A55898A" w14:textId="77777777" w:rsidR="00847AB0" w:rsidRPr="00F12251" w:rsidRDefault="00847AB0" w:rsidP="00847AB0">
      <w:pPr>
        <w:rPr>
          <w:rFonts w:ascii="Arial Narrow" w:hAnsi="Arial Narrow"/>
          <w:b/>
          <w:szCs w:val="24"/>
          <w:lang w:val="en-US"/>
        </w:rPr>
      </w:pPr>
    </w:p>
    <w:p w14:paraId="4E8A4FBE" w14:textId="6391EC1F" w:rsidR="00847AB0" w:rsidRPr="00F12251" w:rsidRDefault="00847AB0" w:rsidP="00847AB0">
      <w:pPr>
        <w:rPr>
          <w:rFonts w:ascii="Arial Narrow" w:hAnsi="Arial Narrow"/>
          <w:b/>
          <w:sz w:val="28"/>
          <w:szCs w:val="28"/>
        </w:rPr>
      </w:pPr>
      <w:r w:rsidRPr="00F12251">
        <w:rPr>
          <w:rFonts w:ascii="Arial Narrow" w:hAnsi="Arial Narrow"/>
          <w:b/>
          <w:sz w:val="28"/>
          <w:szCs w:val="28"/>
        </w:rPr>
        <w:t xml:space="preserve">Objet : </w:t>
      </w:r>
      <w:r w:rsidR="00E725A2" w:rsidRPr="00F12251">
        <w:rPr>
          <w:rFonts w:ascii="Arial Narrow" w:hAnsi="Arial Narrow"/>
          <w:b/>
          <w:sz w:val="28"/>
          <w:szCs w:val="28"/>
        </w:rPr>
        <w:t xml:space="preserve">signalement </w:t>
      </w:r>
      <w:r w:rsidR="001574A5" w:rsidRPr="00F12251">
        <w:rPr>
          <w:rFonts w:ascii="Arial Narrow" w:hAnsi="Arial Narrow"/>
          <w:b/>
          <w:sz w:val="28"/>
          <w:szCs w:val="28"/>
        </w:rPr>
        <w:t xml:space="preserve">de </w:t>
      </w:r>
      <w:r w:rsidRPr="00F12251">
        <w:rPr>
          <w:rFonts w:ascii="Arial Narrow" w:hAnsi="Arial Narrow"/>
          <w:b/>
          <w:sz w:val="28"/>
          <w:szCs w:val="28"/>
        </w:rPr>
        <w:t>refus d’instruire des demandes de crédit immobilier présentées par un Consommateur</w:t>
      </w:r>
      <w:r w:rsidR="00E725A2" w:rsidRPr="00F12251">
        <w:rPr>
          <w:rFonts w:ascii="Arial Narrow" w:hAnsi="Arial Narrow"/>
          <w:b/>
          <w:sz w:val="28"/>
          <w:szCs w:val="28"/>
        </w:rPr>
        <w:t>, candidat à l’emprunt ; demande d’enquête à la DG CCRF</w:t>
      </w:r>
      <w:r w:rsidR="00D55857">
        <w:rPr>
          <w:rFonts w:ascii="Arial Narrow" w:hAnsi="Arial Narrow"/>
          <w:b/>
          <w:sz w:val="28"/>
          <w:szCs w:val="28"/>
        </w:rPr>
        <w:t xml:space="preserve"> et d’information de l’Autorité de la concurrence.</w:t>
      </w:r>
    </w:p>
    <w:p w14:paraId="2B221958" w14:textId="77777777" w:rsidR="00847AB0" w:rsidRPr="00F12251" w:rsidRDefault="00847AB0" w:rsidP="00847AB0">
      <w:pPr>
        <w:rPr>
          <w:rFonts w:ascii="Arial Narrow" w:hAnsi="Arial Narrow"/>
          <w:b/>
          <w:szCs w:val="24"/>
        </w:rPr>
      </w:pPr>
    </w:p>
    <w:p w14:paraId="7C03A427" w14:textId="7FC0F5A1" w:rsidR="001574A5" w:rsidRPr="00F12251" w:rsidRDefault="00847AB0" w:rsidP="001574A5">
      <w:pPr>
        <w:rPr>
          <w:rFonts w:ascii="Arial Narrow" w:hAnsi="Arial Narrow"/>
          <w:i/>
          <w:sz w:val="20"/>
        </w:rPr>
      </w:pPr>
      <w:r w:rsidRPr="00F12251">
        <w:rPr>
          <w:rFonts w:ascii="Arial Narrow" w:hAnsi="Arial Narrow"/>
          <w:i/>
          <w:sz w:val="20"/>
        </w:rPr>
        <w:t xml:space="preserve">Également </w:t>
      </w:r>
      <w:r w:rsidR="001574A5" w:rsidRPr="00F12251">
        <w:rPr>
          <w:rFonts w:ascii="Arial Narrow" w:hAnsi="Arial Narrow"/>
          <w:i/>
          <w:sz w:val="20"/>
        </w:rPr>
        <w:t>à : [ADRESSE DE LA DD</w:t>
      </w:r>
      <w:r w:rsidR="00F12251">
        <w:rPr>
          <w:rFonts w:ascii="Arial Narrow" w:hAnsi="Arial Narrow"/>
          <w:i/>
          <w:sz w:val="20"/>
        </w:rPr>
        <w:t xml:space="preserve"> </w:t>
      </w:r>
      <w:r w:rsidR="001574A5" w:rsidRPr="00F12251">
        <w:rPr>
          <w:rFonts w:ascii="Arial Narrow" w:hAnsi="Arial Narrow"/>
          <w:i/>
          <w:sz w:val="20"/>
        </w:rPr>
        <w:t xml:space="preserve">PP du Département]. EXEMPLE : </w:t>
      </w:r>
      <w:r w:rsidR="001574A5" w:rsidRPr="00F12251">
        <w:rPr>
          <w:rFonts w:ascii="Arial Narrow" w:hAnsi="Arial Narrow"/>
          <w:i/>
          <w:sz w:val="20"/>
        </w:rPr>
        <w:t>143 Boulevard de la Reine</w:t>
      </w:r>
      <w:r w:rsidR="001574A5" w:rsidRPr="00F12251">
        <w:rPr>
          <w:rFonts w:ascii="Arial Narrow" w:hAnsi="Arial Narrow"/>
          <w:i/>
          <w:sz w:val="20"/>
        </w:rPr>
        <w:t xml:space="preserve"> </w:t>
      </w:r>
      <w:r w:rsidR="001574A5" w:rsidRPr="00F12251">
        <w:rPr>
          <w:rFonts w:ascii="Arial Narrow" w:hAnsi="Arial Narrow"/>
          <w:i/>
          <w:sz w:val="20"/>
        </w:rPr>
        <w:t>CS 33535</w:t>
      </w:r>
      <w:r w:rsidR="001574A5" w:rsidRPr="00F12251">
        <w:rPr>
          <w:rFonts w:ascii="Arial Narrow" w:hAnsi="Arial Narrow"/>
          <w:i/>
          <w:sz w:val="20"/>
        </w:rPr>
        <w:t xml:space="preserve"> </w:t>
      </w:r>
      <w:r w:rsidR="001574A5" w:rsidRPr="00F12251">
        <w:rPr>
          <w:rFonts w:ascii="Arial Narrow" w:hAnsi="Arial Narrow"/>
          <w:i/>
          <w:sz w:val="20"/>
        </w:rPr>
        <w:t>78035 VERSAILLES CEDEX</w:t>
      </w:r>
    </w:p>
    <w:p w14:paraId="56331F55" w14:textId="78E47F41" w:rsidR="00847AB0" w:rsidRPr="00F12251" w:rsidRDefault="001574A5" w:rsidP="00847AB0">
      <w:pPr>
        <w:rPr>
          <w:rFonts w:ascii="Arial Narrow" w:hAnsi="Arial Narrow"/>
          <w:i/>
          <w:sz w:val="20"/>
        </w:rPr>
      </w:pPr>
      <w:r w:rsidRPr="00F12251">
        <w:rPr>
          <w:rFonts w:ascii="Arial Narrow" w:hAnsi="Arial Narrow"/>
          <w:i/>
          <w:sz w:val="20"/>
        </w:rPr>
        <w:t xml:space="preserve">Et </w:t>
      </w:r>
      <w:r w:rsidR="00847AB0" w:rsidRPr="00F12251">
        <w:rPr>
          <w:rFonts w:ascii="Arial Narrow" w:hAnsi="Arial Narrow"/>
          <w:i/>
          <w:sz w:val="20"/>
        </w:rPr>
        <w:t>par courrier électronique à :</w:t>
      </w:r>
      <w:r w:rsidRPr="00F12251">
        <w:rPr>
          <w:rFonts w:ascii="Arial Narrow" w:hAnsi="Arial Narrow"/>
          <w:i/>
          <w:sz w:val="20"/>
        </w:rPr>
        <w:t xml:space="preserve"> [Mail de la DD PP du Département]. EXEMPLE : ddpp@yvelines.gouv.fr</w:t>
      </w:r>
    </w:p>
    <w:p w14:paraId="0245DBF8" w14:textId="331558B1" w:rsidR="00847AB0" w:rsidRPr="00F12251" w:rsidRDefault="002247CB" w:rsidP="00847AB0">
      <w:pPr>
        <w:rPr>
          <w:rFonts w:ascii="Arial Narrow" w:hAnsi="Arial Narrow"/>
          <w:i/>
          <w:iCs/>
          <w:sz w:val="20"/>
        </w:rPr>
      </w:pPr>
      <w:r>
        <w:rPr>
          <w:rFonts w:ascii="Arial Narrow" w:hAnsi="Arial Narrow"/>
          <w:i/>
          <w:iCs/>
          <w:sz w:val="20"/>
        </w:rPr>
        <w:t xml:space="preserve">Ainsi que par la plateforme « SIGNAL-CONSO » : </w:t>
      </w:r>
      <w:r w:rsidRPr="002247CB">
        <w:rPr>
          <w:rFonts w:ascii="Arial Narrow" w:hAnsi="Arial Narrow"/>
          <w:i/>
          <w:iCs/>
          <w:sz w:val="20"/>
        </w:rPr>
        <w:t>https://signal.conso.gouv.fr/</w:t>
      </w:r>
    </w:p>
    <w:p w14:paraId="4D1475A3" w14:textId="77777777" w:rsidR="00847AB0" w:rsidRPr="00F12251" w:rsidRDefault="00847AB0" w:rsidP="00847AB0">
      <w:pPr>
        <w:rPr>
          <w:rFonts w:ascii="Arial Narrow" w:hAnsi="Arial Narrow"/>
          <w:szCs w:val="24"/>
        </w:rPr>
      </w:pPr>
    </w:p>
    <w:p w14:paraId="693BB947" w14:textId="54F85E22" w:rsidR="00847AB0" w:rsidRDefault="00847AB0" w:rsidP="00847AB0">
      <w:pPr>
        <w:rPr>
          <w:rFonts w:ascii="Arial Narrow" w:hAnsi="Arial Narrow"/>
          <w:szCs w:val="24"/>
        </w:rPr>
      </w:pPr>
    </w:p>
    <w:p w14:paraId="57402467" w14:textId="52C16C64" w:rsidR="002247CB" w:rsidRDefault="002247CB" w:rsidP="00847AB0">
      <w:pPr>
        <w:rPr>
          <w:rFonts w:ascii="Arial Narrow" w:hAnsi="Arial Narrow"/>
          <w:szCs w:val="24"/>
        </w:rPr>
      </w:pPr>
    </w:p>
    <w:p w14:paraId="61682486" w14:textId="77777777" w:rsidR="002247CB" w:rsidRPr="00F12251" w:rsidRDefault="002247CB" w:rsidP="00847AB0">
      <w:pPr>
        <w:rPr>
          <w:rFonts w:ascii="Arial Narrow" w:hAnsi="Arial Narrow"/>
          <w:szCs w:val="24"/>
        </w:rPr>
      </w:pPr>
    </w:p>
    <w:p w14:paraId="333FCB49" w14:textId="0F17B5E3" w:rsidR="00847AB0" w:rsidRPr="00F12251" w:rsidRDefault="00AA6FC0" w:rsidP="00847AB0">
      <w:pPr>
        <w:rPr>
          <w:rFonts w:ascii="Arial Narrow" w:hAnsi="Arial Narrow"/>
          <w:szCs w:val="24"/>
        </w:rPr>
      </w:pPr>
      <w:r>
        <w:rPr>
          <w:rFonts w:ascii="Arial Narrow" w:hAnsi="Arial Narrow"/>
          <w:szCs w:val="24"/>
        </w:rPr>
        <w:t>Madame, Monsieur.</w:t>
      </w:r>
    </w:p>
    <w:p w14:paraId="316677FA" w14:textId="77777777" w:rsidR="00847AB0" w:rsidRPr="00F12251" w:rsidRDefault="00847AB0" w:rsidP="00847AB0">
      <w:pPr>
        <w:rPr>
          <w:rFonts w:ascii="Arial Narrow" w:hAnsi="Arial Narrow"/>
          <w:szCs w:val="24"/>
        </w:rPr>
      </w:pPr>
    </w:p>
    <w:p w14:paraId="39E7C058" w14:textId="40A3E1B7" w:rsidR="00F12251" w:rsidRPr="00F12251" w:rsidRDefault="00847AB0" w:rsidP="00847AB0">
      <w:pPr>
        <w:rPr>
          <w:rFonts w:ascii="Arial Narrow" w:hAnsi="Arial Narrow"/>
          <w:szCs w:val="24"/>
        </w:rPr>
      </w:pPr>
      <w:r w:rsidRPr="00F12251">
        <w:rPr>
          <w:rFonts w:ascii="Arial Narrow" w:hAnsi="Arial Narrow"/>
          <w:szCs w:val="24"/>
        </w:rPr>
        <w:t xml:space="preserve">Je vous écris </w:t>
      </w:r>
      <w:r w:rsidR="00F12251" w:rsidRPr="00F12251">
        <w:rPr>
          <w:rFonts w:ascii="Arial Narrow" w:hAnsi="Arial Narrow"/>
          <w:szCs w:val="24"/>
        </w:rPr>
        <w:t xml:space="preserve">en tant que Consommateur pour vous signaler le refus d’un établissement bancaire agréé, d’instruire ma demande de crédit immobilier. </w:t>
      </w:r>
      <w:r w:rsidR="00AA6FC0">
        <w:rPr>
          <w:rFonts w:ascii="Arial Narrow" w:hAnsi="Arial Narrow"/>
          <w:szCs w:val="24"/>
        </w:rPr>
        <w:t xml:space="preserve">Via la plateforme « SIGNAL-CONSO » et par le présent courrier, je </w:t>
      </w:r>
      <w:r w:rsidR="00F12251" w:rsidRPr="00F12251">
        <w:rPr>
          <w:rFonts w:ascii="Arial Narrow" w:hAnsi="Arial Narrow"/>
          <w:szCs w:val="24"/>
        </w:rPr>
        <w:t xml:space="preserve">saisis la DG CCRF afin qu’elle diligente une enquête sur cette pratique, contraire aux droits des Consommateurs. </w:t>
      </w:r>
      <w:r w:rsidR="00D55857">
        <w:rPr>
          <w:rFonts w:ascii="Arial Narrow" w:hAnsi="Arial Narrow"/>
          <w:szCs w:val="24"/>
        </w:rPr>
        <w:t>Et qu’elle en informe l’Autorité de la concurrence.</w:t>
      </w:r>
    </w:p>
    <w:p w14:paraId="208A5D6D" w14:textId="77777777" w:rsidR="00F12251" w:rsidRPr="00F12251" w:rsidRDefault="00F12251" w:rsidP="00847AB0">
      <w:pPr>
        <w:rPr>
          <w:rFonts w:ascii="Arial Narrow" w:hAnsi="Arial Narrow"/>
          <w:szCs w:val="24"/>
        </w:rPr>
      </w:pPr>
    </w:p>
    <w:p w14:paraId="627EFD1A" w14:textId="7E81C4AE" w:rsidR="00F12251" w:rsidRPr="00F12251" w:rsidRDefault="00F12251" w:rsidP="00847AB0">
      <w:pPr>
        <w:rPr>
          <w:rFonts w:ascii="Arial Narrow" w:hAnsi="Arial Narrow"/>
          <w:szCs w:val="24"/>
        </w:rPr>
      </w:pPr>
      <w:r w:rsidRPr="00F12251">
        <w:rPr>
          <w:rFonts w:ascii="Arial Narrow" w:hAnsi="Arial Narrow"/>
          <w:szCs w:val="24"/>
        </w:rPr>
        <w:t xml:space="preserve">En date du [DATE DE SOLLICITATION DE LA BANQUE PAR LE COURTIER], j’ai soumis une </w:t>
      </w:r>
      <w:r w:rsidR="00847AB0" w:rsidRPr="00F12251">
        <w:rPr>
          <w:rFonts w:ascii="Arial Narrow" w:hAnsi="Arial Narrow"/>
          <w:szCs w:val="24"/>
        </w:rPr>
        <w:t xml:space="preserve">demande d’instruction de crédit immobilier </w:t>
      </w:r>
      <w:r w:rsidRPr="00F12251">
        <w:rPr>
          <w:rFonts w:ascii="Arial Narrow" w:hAnsi="Arial Narrow"/>
          <w:szCs w:val="24"/>
        </w:rPr>
        <w:t xml:space="preserve">à la </w:t>
      </w:r>
      <w:r w:rsidR="00847AB0" w:rsidRPr="00F12251">
        <w:rPr>
          <w:rFonts w:ascii="Arial Narrow" w:hAnsi="Arial Narrow"/>
          <w:szCs w:val="24"/>
        </w:rPr>
        <w:t xml:space="preserve">[NOM DE LA BANQUE] ; cet établissement de crédit agréé a refusé, sans motivation légitime, d’instruire </w:t>
      </w:r>
      <w:r w:rsidRPr="00F12251">
        <w:rPr>
          <w:rFonts w:ascii="Arial Narrow" w:hAnsi="Arial Narrow"/>
          <w:szCs w:val="24"/>
        </w:rPr>
        <w:t>ma</w:t>
      </w:r>
      <w:r w:rsidR="00847AB0" w:rsidRPr="00F12251">
        <w:rPr>
          <w:rFonts w:ascii="Arial Narrow" w:hAnsi="Arial Narrow"/>
          <w:szCs w:val="24"/>
        </w:rPr>
        <w:t xml:space="preserve"> demande de crédit</w:t>
      </w:r>
      <w:r w:rsidRPr="00F12251">
        <w:rPr>
          <w:rFonts w:ascii="Arial Narrow" w:hAnsi="Arial Narrow"/>
          <w:szCs w:val="24"/>
        </w:rPr>
        <w:t xml:space="preserve"> immobilier</w:t>
      </w:r>
      <w:r w:rsidR="00D55857">
        <w:rPr>
          <w:rFonts w:ascii="Arial Narrow" w:hAnsi="Arial Narrow"/>
          <w:szCs w:val="24"/>
        </w:rPr>
        <w:t>, en date du [DATE DE REFUS D’INSTRUIRE LA DEMANDE].</w:t>
      </w:r>
      <w:r w:rsidRPr="00F12251">
        <w:rPr>
          <w:rFonts w:ascii="Arial Narrow" w:hAnsi="Arial Narrow"/>
          <w:szCs w:val="24"/>
        </w:rPr>
        <w:t xml:space="preserve"> En particulier, cet établissement de crédit invoqu</w:t>
      </w:r>
      <w:r w:rsidR="00D55857">
        <w:rPr>
          <w:rFonts w:ascii="Arial Narrow" w:hAnsi="Arial Narrow"/>
          <w:szCs w:val="24"/>
        </w:rPr>
        <w:t>e</w:t>
      </w:r>
      <w:r w:rsidRPr="00F12251">
        <w:rPr>
          <w:rFonts w:ascii="Arial Narrow" w:hAnsi="Arial Narrow"/>
          <w:szCs w:val="24"/>
        </w:rPr>
        <w:t xml:space="preserve"> son refus de principe d’instruire cette demande, au motif que j’ai choisi de la formuler par l’intermédiaire d’un Courtier-Intermédiaire en opérations de banque et en services de paiement : un Courtier en crédit immobilier.</w:t>
      </w:r>
    </w:p>
    <w:p w14:paraId="470D3E4B" w14:textId="77777777" w:rsidR="00F12251" w:rsidRPr="00F12251" w:rsidRDefault="00F12251" w:rsidP="00847AB0">
      <w:pPr>
        <w:rPr>
          <w:rFonts w:ascii="Arial Narrow" w:hAnsi="Arial Narrow"/>
          <w:szCs w:val="24"/>
        </w:rPr>
      </w:pPr>
    </w:p>
    <w:p w14:paraId="43157E19" w14:textId="61E1DC29" w:rsidR="00847AB0" w:rsidRPr="00F12251" w:rsidRDefault="00F12251" w:rsidP="00847AB0">
      <w:pPr>
        <w:rPr>
          <w:rFonts w:ascii="Arial Narrow" w:hAnsi="Arial Narrow"/>
          <w:szCs w:val="24"/>
        </w:rPr>
      </w:pPr>
      <w:r w:rsidRPr="00F12251">
        <w:rPr>
          <w:rFonts w:ascii="Arial Narrow" w:hAnsi="Arial Narrow"/>
          <w:szCs w:val="24"/>
        </w:rPr>
        <w:t xml:space="preserve">Ce refus d’instruction </w:t>
      </w:r>
      <w:r w:rsidR="00AA6FC0">
        <w:rPr>
          <w:rFonts w:ascii="Arial Narrow" w:hAnsi="Arial Narrow"/>
          <w:szCs w:val="24"/>
        </w:rPr>
        <w:t xml:space="preserve">de principe </w:t>
      </w:r>
      <w:r w:rsidRPr="00F12251">
        <w:rPr>
          <w:rFonts w:ascii="Arial Narrow" w:hAnsi="Arial Narrow"/>
          <w:szCs w:val="24"/>
        </w:rPr>
        <w:t>et une telle pratique</w:t>
      </w:r>
      <w:r w:rsidR="00847AB0" w:rsidRPr="00F12251">
        <w:rPr>
          <w:rFonts w:ascii="Arial Narrow" w:hAnsi="Arial Narrow"/>
          <w:szCs w:val="24"/>
        </w:rPr>
        <w:t xml:space="preserve"> constituent des enfreintes graves aux droits des Consommateurs concernés.</w:t>
      </w:r>
      <w:r w:rsidR="00AA6FC0">
        <w:rPr>
          <w:rFonts w:ascii="Arial Narrow" w:hAnsi="Arial Narrow"/>
          <w:szCs w:val="24"/>
        </w:rPr>
        <w:t xml:space="preserve"> Ils nuisent également à la libre-concurrence de la distribution du crédit.</w:t>
      </w:r>
    </w:p>
    <w:bookmarkEnd w:id="0"/>
    <w:p w14:paraId="2A935B7A" w14:textId="77777777" w:rsidR="00847AB0" w:rsidRPr="00F12251" w:rsidRDefault="00847AB0" w:rsidP="00847AB0">
      <w:pPr>
        <w:rPr>
          <w:rFonts w:ascii="Arial Narrow" w:hAnsi="Arial Narrow"/>
          <w:szCs w:val="24"/>
        </w:rPr>
      </w:pPr>
    </w:p>
    <w:p w14:paraId="72291B5A" w14:textId="63C4D072" w:rsidR="00847AB0" w:rsidRDefault="00847AB0" w:rsidP="00847AB0">
      <w:pPr>
        <w:rPr>
          <w:rFonts w:ascii="Arial Narrow" w:hAnsi="Arial Narrow"/>
          <w:szCs w:val="24"/>
        </w:rPr>
      </w:pPr>
      <w:r w:rsidRPr="00F12251">
        <w:rPr>
          <w:rFonts w:ascii="Arial Narrow" w:hAnsi="Arial Narrow"/>
          <w:szCs w:val="24"/>
        </w:rPr>
        <w:t xml:space="preserve"> </w:t>
      </w:r>
    </w:p>
    <w:p w14:paraId="107D8C98" w14:textId="3B875B44" w:rsidR="001702E2" w:rsidRDefault="001702E2" w:rsidP="00847AB0">
      <w:pPr>
        <w:rPr>
          <w:rFonts w:ascii="Arial Narrow" w:hAnsi="Arial Narrow"/>
          <w:szCs w:val="24"/>
        </w:rPr>
      </w:pPr>
    </w:p>
    <w:p w14:paraId="52C51472" w14:textId="6DAE43F6" w:rsidR="001702E2" w:rsidRDefault="001702E2" w:rsidP="00847AB0">
      <w:pPr>
        <w:rPr>
          <w:rFonts w:ascii="Arial Narrow" w:hAnsi="Arial Narrow"/>
          <w:szCs w:val="24"/>
        </w:rPr>
      </w:pPr>
    </w:p>
    <w:p w14:paraId="51721972" w14:textId="2147059B" w:rsidR="001702E2" w:rsidRDefault="001702E2" w:rsidP="00847AB0">
      <w:pPr>
        <w:rPr>
          <w:rFonts w:ascii="Arial Narrow" w:hAnsi="Arial Narrow"/>
          <w:szCs w:val="24"/>
        </w:rPr>
      </w:pPr>
    </w:p>
    <w:p w14:paraId="3CAEC0F5" w14:textId="172D52F2" w:rsidR="001702E2" w:rsidRDefault="001702E2" w:rsidP="00847AB0">
      <w:pPr>
        <w:rPr>
          <w:rFonts w:ascii="Arial Narrow" w:hAnsi="Arial Narrow"/>
          <w:szCs w:val="24"/>
        </w:rPr>
      </w:pPr>
    </w:p>
    <w:p w14:paraId="40D3BC85" w14:textId="15F41369" w:rsidR="001702E2" w:rsidRDefault="001702E2" w:rsidP="00847AB0">
      <w:pPr>
        <w:rPr>
          <w:rFonts w:ascii="Arial Narrow" w:hAnsi="Arial Narrow"/>
          <w:szCs w:val="24"/>
        </w:rPr>
      </w:pPr>
    </w:p>
    <w:p w14:paraId="4F99557F" w14:textId="4871C560" w:rsidR="001702E2" w:rsidRDefault="001702E2" w:rsidP="00847AB0">
      <w:pPr>
        <w:rPr>
          <w:rFonts w:ascii="Arial Narrow" w:hAnsi="Arial Narrow"/>
          <w:szCs w:val="24"/>
        </w:rPr>
      </w:pPr>
    </w:p>
    <w:p w14:paraId="2E0B4934" w14:textId="77777777" w:rsidR="00847AB0" w:rsidRPr="00F12251" w:rsidRDefault="00847AB0" w:rsidP="00847AB0">
      <w:pPr>
        <w:spacing w:after="100" w:afterAutospacing="1"/>
        <w:rPr>
          <w:rFonts w:ascii="Arial Narrow" w:hAnsi="Arial Narrow" w:cs="Calibri"/>
          <w:szCs w:val="24"/>
        </w:rPr>
      </w:pPr>
      <w:r w:rsidRPr="00F12251">
        <w:rPr>
          <w:rFonts w:ascii="Arial Narrow" w:hAnsi="Arial Narrow"/>
          <w:b/>
          <w:bCs/>
          <w:szCs w:val="24"/>
        </w:rPr>
        <w:lastRenderedPageBreak/>
        <w:t xml:space="preserve">En Droit, en premier lieu, l’établissement de crédit agréé est tenu de respecter les droits dont bénéficient les Consommateurs. </w:t>
      </w:r>
      <w:r w:rsidRPr="00F12251">
        <w:rPr>
          <w:rFonts w:ascii="Arial Narrow" w:hAnsi="Arial Narrow" w:cs="Calibri"/>
          <w:szCs w:val="24"/>
        </w:rPr>
        <w:t xml:space="preserve">En toute circonstance, tout établissement de crédit prêteur est tenu d’agir : « </w:t>
      </w:r>
      <w:r w:rsidRPr="00F12251">
        <w:rPr>
          <w:rFonts w:ascii="Arial Narrow" w:hAnsi="Arial Narrow" w:cs="Calibri"/>
          <w:i/>
          <w:iCs/>
          <w:szCs w:val="24"/>
        </w:rPr>
        <w:t>[…] d'une manière honnête, équitable, transparente et professionnelle, au mieux des droits et des intérêts des emprunteurs</w:t>
      </w:r>
      <w:r w:rsidRPr="00F12251">
        <w:rPr>
          <w:rFonts w:ascii="Arial Narrow" w:hAnsi="Arial Narrow" w:cs="Calibri"/>
          <w:szCs w:val="24"/>
        </w:rPr>
        <w:t xml:space="preserve"> » (article L. 314-22 alinéa 1</w:t>
      </w:r>
      <w:r w:rsidRPr="00F12251">
        <w:rPr>
          <w:rFonts w:ascii="Arial Narrow" w:hAnsi="Arial Narrow" w:cs="Calibri"/>
          <w:szCs w:val="24"/>
          <w:vertAlign w:val="superscript"/>
        </w:rPr>
        <w:t>er</w:t>
      </w:r>
      <w:r w:rsidRPr="00F12251">
        <w:rPr>
          <w:rFonts w:ascii="Arial Narrow" w:hAnsi="Arial Narrow" w:cs="Calibri"/>
          <w:szCs w:val="24"/>
        </w:rPr>
        <w:t xml:space="preserve"> du Code de la consommation).</w:t>
      </w:r>
    </w:p>
    <w:p w14:paraId="02040CF6" w14:textId="77777777" w:rsidR="00847AB0" w:rsidRPr="00F12251" w:rsidRDefault="00847AB0" w:rsidP="00847AB0">
      <w:pPr>
        <w:spacing w:after="120" w:line="259" w:lineRule="auto"/>
        <w:rPr>
          <w:rFonts w:ascii="Arial Narrow" w:hAnsi="Arial Narrow" w:cs="Calibri"/>
          <w:szCs w:val="24"/>
        </w:rPr>
      </w:pPr>
      <w:r w:rsidRPr="00F12251">
        <w:rPr>
          <w:rFonts w:ascii="Arial Narrow" w:hAnsi="Arial Narrow" w:cs="Calibri"/>
          <w:szCs w:val="24"/>
        </w:rPr>
        <w:t>Il est interdit à un établissement de crédit agréé de refuser d’instruire la demande de prêt formulée par un Consommateur. Car il est « </w:t>
      </w:r>
      <w:r w:rsidRPr="00F12251">
        <w:rPr>
          <w:rFonts w:ascii="Arial Narrow" w:hAnsi="Arial Narrow" w:cs="Calibri"/>
          <w:i/>
          <w:iCs/>
          <w:szCs w:val="24"/>
        </w:rPr>
        <w:t>interdit le fait de refuser à un consommateur la vente d'un produit ou la prestation d'un service, sauf motif légitime</w:t>
      </w:r>
      <w:r w:rsidRPr="00F12251">
        <w:rPr>
          <w:rFonts w:ascii="Arial Narrow" w:hAnsi="Arial Narrow" w:cs="Calibri"/>
          <w:szCs w:val="24"/>
        </w:rPr>
        <w:t xml:space="preserve"> » (article L. 121-11 du Code de la consommation). Or l’instruction d’une demande de crédit immobilier </w:t>
      </w:r>
      <w:r w:rsidRPr="00F12251">
        <w:rPr>
          <w:rFonts w:ascii="Arial Narrow" w:hAnsi="Arial Narrow" w:cs="Calibri"/>
          <w:szCs w:val="24"/>
          <w:u w:val="single"/>
        </w:rPr>
        <w:t>constitue une prestation de service</w:t>
      </w:r>
      <w:r w:rsidRPr="00F12251">
        <w:rPr>
          <w:rFonts w:ascii="Arial Narrow" w:hAnsi="Arial Narrow" w:cs="Calibri"/>
          <w:szCs w:val="24"/>
        </w:rPr>
        <w:t xml:space="preserve"> (art. R. 313-22 du Code de la consommation et Directive 2011/83/UE du 25 octobre 2011, article 2, § 6 et § 12).</w:t>
      </w:r>
    </w:p>
    <w:p w14:paraId="7071EE44" w14:textId="77777777" w:rsidR="00847AB0" w:rsidRPr="00F12251" w:rsidRDefault="00847AB0" w:rsidP="00847AB0">
      <w:pPr>
        <w:spacing w:after="160" w:line="259" w:lineRule="auto"/>
        <w:rPr>
          <w:rFonts w:ascii="Arial Narrow" w:hAnsi="Arial Narrow" w:cs="Calibri"/>
          <w:i/>
          <w:iCs/>
          <w:szCs w:val="24"/>
        </w:rPr>
      </w:pPr>
      <w:r w:rsidRPr="00F12251">
        <w:rPr>
          <w:rFonts w:ascii="Arial Narrow" w:hAnsi="Arial Narrow" w:cs="Calibri"/>
          <w:szCs w:val="24"/>
        </w:rPr>
        <w:t xml:space="preserve">De plus, </w:t>
      </w:r>
      <w:r w:rsidRPr="00F12251">
        <w:rPr>
          <w:rFonts w:ascii="Arial Narrow" w:hAnsi="Arial Narrow" w:cs="Calibri"/>
          <w:i/>
          <w:iCs/>
          <w:szCs w:val="24"/>
        </w:rPr>
        <w:t>« les pratiques commerciales déloyales sont interdites. […] </w:t>
      </w:r>
      <w:r w:rsidRPr="00F12251">
        <w:rPr>
          <w:rFonts w:ascii="Arial Narrow" w:hAnsi="Arial Narrow" w:cs="Calibri"/>
          <w:szCs w:val="24"/>
        </w:rPr>
        <w:t>» de la part de tout Professionnel, envers tout Consommateur (article L. 121-1 du Code de la consommation). Parmi les pratiques déloyales, les pratiques commerciales agressives d’un Professionnel envers tout Consommateur sont interdites. Notamment, « </w:t>
      </w:r>
      <w:r w:rsidRPr="00F12251">
        <w:rPr>
          <w:rFonts w:ascii="Arial Narrow" w:hAnsi="Arial Narrow" w:cs="Calibri"/>
          <w:i/>
          <w:iCs/>
          <w:szCs w:val="24"/>
        </w:rPr>
        <w:t>une pratique commerciale est agressive lorsque du fait de sollicitations répétées et insistantes ou de l'usage d'une contrainte physique ou morale, et compte tenu des circonstances qui l'entourent :</w:t>
      </w:r>
    </w:p>
    <w:p w14:paraId="5DCE89AF" w14:textId="77777777" w:rsidR="00847AB0" w:rsidRPr="00F12251" w:rsidRDefault="00847AB0" w:rsidP="00847AB0">
      <w:pPr>
        <w:spacing w:line="259" w:lineRule="auto"/>
        <w:rPr>
          <w:rFonts w:ascii="Arial Narrow" w:hAnsi="Arial Narrow" w:cs="Calibri"/>
          <w:i/>
          <w:iCs/>
          <w:szCs w:val="24"/>
        </w:rPr>
      </w:pPr>
      <w:r w:rsidRPr="00F12251">
        <w:rPr>
          <w:rFonts w:ascii="Arial Narrow" w:hAnsi="Arial Narrow" w:cs="Calibri"/>
          <w:i/>
          <w:iCs/>
          <w:szCs w:val="24"/>
        </w:rPr>
        <w:t>1° Elle altère ou est de nature à altérer de manière significative la liberté de choix d'un consommateur ;</w:t>
      </w:r>
    </w:p>
    <w:p w14:paraId="5784ED64" w14:textId="77777777" w:rsidR="00847AB0" w:rsidRPr="00F12251" w:rsidRDefault="00847AB0" w:rsidP="00847AB0">
      <w:pPr>
        <w:spacing w:line="259" w:lineRule="auto"/>
        <w:rPr>
          <w:rFonts w:ascii="Arial Narrow" w:hAnsi="Arial Narrow" w:cs="Calibri"/>
          <w:i/>
          <w:iCs/>
          <w:szCs w:val="24"/>
        </w:rPr>
      </w:pPr>
      <w:r w:rsidRPr="00F12251">
        <w:rPr>
          <w:rFonts w:ascii="Arial Narrow" w:hAnsi="Arial Narrow" w:cs="Calibri"/>
          <w:i/>
          <w:iCs/>
          <w:szCs w:val="24"/>
        </w:rPr>
        <w:t>2° Elle vicie ou est de nature à vicier le consentement d'un consommateur ;</w:t>
      </w:r>
    </w:p>
    <w:p w14:paraId="219407F8" w14:textId="77777777" w:rsidR="00847AB0" w:rsidRPr="00F12251" w:rsidRDefault="00847AB0" w:rsidP="00847AB0">
      <w:pPr>
        <w:spacing w:after="160" w:line="259" w:lineRule="auto"/>
        <w:rPr>
          <w:rFonts w:ascii="Arial Narrow" w:hAnsi="Arial Narrow" w:cs="Calibri"/>
          <w:szCs w:val="24"/>
        </w:rPr>
      </w:pPr>
      <w:r w:rsidRPr="00F12251">
        <w:rPr>
          <w:rFonts w:ascii="Arial Narrow" w:hAnsi="Arial Narrow" w:cs="Calibri"/>
          <w:i/>
          <w:iCs/>
          <w:szCs w:val="24"/>
        </w:rPr>
        <w:t>3° Elle entrave l'exercice des droits contractuels d'un consommateur</w:t>
      </w:r>
      <w:r w:rsidRPr="00F12251">
        <w:rPr>
          <w:rFonts w:ascii="Arial Narrow" w:hAnsi="Arial Narrow" w:cs="Calibri"/>
          <w:szCs w:val="24"/>
        </w:rPr>
        <w:t> » (article L. 121-6 du code de la consommation).</w:t>
      </w:r>
    </w:p>
    <w:p w14:paraId="47028B7C" w14:textId="1B72BC8A" w:rsidR="00847AB0" w:rsidRDefault="00AA6FC0" w:rsidP="00847AB0">
      <w:pPr>
        <w:spacing w:after="160" w:line="259" w:lineRule="auto"/>
        <w:rPr>
          <w:rFonts w:ascii="Arial Narrow" w:eastAsia="Calibri" w:hAnsi="Arial Narrow" w:cs="Calibri"/>
          <w:szCs w:val="24"/>
          <w:lang w:eastAsia="en-US"/>
        </w:rPr>
      </w:pPr>
      <w:r>
        <w:rPr>
          <w:rFonts w:ascii="Arial Narrow" w:eastAsia="Calibri" w:hAnsi="Arial Narrow" w:cs="Calibri"/>
          <w:szCs w:val="24"/>
          <w:lang w:eastAsia="en-US"/>
        </w:rPr>
        <w:t>Par ailleurs, c</w:t>
      </w:r>
      <w:r w:rsidR="00847AB0" w:rsidRPr="00F12251">
        <w:rPr>
          <w:rFonts w:ascii="Arial Narrow" w:eastAsia="Calibri" w:hAnsi="Arial Narrow" w:cs="Calibri"/>
          <w:szCs w:val="24"/>
          <w:lang w:eastAsia="en-US"/>
        </w:rPr>
        <w:t>ompte tenu des obligations prises par le Consommateur dans l’avant-contrat de vente immobilière, « compromis » ou promesse de vente, l’établissement de crédit sollicité pour l’instruction d’une demande de prêt est tenu de délivrer le document justificatif permettant au candidat à l’emprunt de produire la preuve du dépôt et, le cas échéant, du refus de prêt (article L. 313-41 du Code de la consommation).</w:t>
      </w:r>
      <w:r w:rsidR="00D55857">
        <w:rPr>
          <w:rFonts w:ascii="Arial Narrow" w:eastAsia="Calibri" w:hAnsi="Arial Narrow" w:cs="Calibri"/>
          <w:szCs w:val="24"/>
          <w:lang w:eastAsia="en-US"/>
        </w:rPr>
        <w:t xml:space="preserve"> La pratique mentionnée est donc préjudiciable au Consommateur, à plusieurs titres.</w:t>
      </w:r>
    </w:p>
    <w:p w14:paraId="70E2FDDF" w14:textId="023E510F" w:rsidR="00706726" w:rsidRPr="00706726" w:rsidRDefault="00706726" w:rsidP="00847AB0">
      <w:pPr>
        <w:spacing w:after="160" w:line="259" w:lineRule="auto"/>
        <w:rPr>
          <w:rFonts w:ascii="Arial Narrow" w:eastAsia="Calibri" w:hAnsi="Arial Narrow" w:cs="Calibri"/>
          <w:i/>
          <w:iCs/>
          <w:szCs w:val="24"/>
          <w:lang w:eastAsia="en-US"/>
        </w:rPr>
      </w:pPr>
      <w:r w:rsidRPr="00706726">
        <w:rPr>
          <w:rFonts w:ascii="Arial Narrow" w:eastAsia="Calibri" w:hAnsi="Arial Narrow" w:cs="Calibri"/>
          <w:i/>
          <w:iCs/>
          <w:szCs w:val="24"/>
          <w:lang w:eastAsia="en-US"/>
        </w:rPr>
        <w:t xml:space="preserve">Il résulte de ces dispositions juridiques que </w:t>
      </w:r>
      <w:r w:rsidRPr="00706726">
        <w:rPr>
          <w:rFonts w:ascii="Arial Narrow" w:eastAsia="Calibri" w:hAnsi="Arial Narrow" w:cs="Calibri"/>
          <w:i/>
          <w:iCs/>
          <w:szCs w:val="24"/>
          <w:u w:val="single"/>
          <w:lang w:eastAsia="en-US"/>
        </w:rPr>
        <w:t>chaque établissement de crédit agréé est tenu d’instruire les demandes de crédit des Consommateurs</w:t>
      </w:r>
      <w:r w:rsidRPr="00706726">
        <w:rPr>
          <w:rFonts w:ascii="Arial Narrow" w:eastAsia="Calibri" w:hAnsi="Arial Narrow" w:cs="Calibri"/>
          <w:i/>
          <w:iCs/>
          <w:szCs w:val="24"/>
          <w:lang w:eastAsia="en-US"/>
        </w:rPr>
        <w:t>, sans distinction ni discrimination.</w:t>
      </w:r>
    </w:p>
    <w:p w14:paraId="47ADFE72" w14:textId="2BB86BD7" w:rsidR="00847AB0" w:rsidRDefault="00847AB0" w:rsidP="00847AB0">
      <w:pPr>
        <w:rPr>
          <w:rFonts w:ascii="Arial Narrow" w:hAnsi="Arial Narrow"/>
          <w:b/>
          <w:bCs/>
          <w:szCs w:val="24"/>
        </w:rPr>
      </w:pPr>
    </w:p>
    <w:p w14:paraId="5D0DE435" w14:textId="77777777" w:rsidR="00706726" w:rsidRPr="00F12251" w:rsidRDefault="00706726" w:rsidP="00847AB0">
      <w:pPr>
        <w:rPr>
          <w:rFonts w:ascii="Arial Narrow" w:hAnsi="Arial Narrow"/>
          <w:b/>
          <w:bCs/>
          <w:szCs w:val="24"/>
        </w:rPr>
      </w:pPr>
    </w:p>
    <w:p w14:paraId="7907328D" w14:textId="77777777" w:rsidR="00847AB0" w:rsidRPr="00F12251" w:rsidRDefault="00847AB0" w:rsidP="00847AB0">
      <w:pPr>
        <w:rPr>
          <w:rFonts w:ascii="Arial Narrow" w:hAnsi="Arial Narrow"/>
          <w:szCs w:val="24"/>
        </w:rPr>
      </w:pPr>
      <w:r w:rsidRPr="00F12251">
        <w:rPr>
          <w:rFonts w:ascii="Arial Narrow" w:hAnsi="Arial Narrow"/>
          <w:b/>
          <w:bCs/>
          <w:szCs w:val="24"/>
        </w:rPr>
        <w:t xml:space="preserve">Toujours en Droit, de seconde part, le contrat de mandat de recherche de capitaux librement passé par un Consommateur et un Courtier-Intermédiaire en Opérations de Banque est opposable à tout établissement de crédit, même en l’absence de « convention de partenariat. » </w:t>
      </w:r>
      <w:r w:rsidRPr="00F12251">
        <w:rPr>
          <w:rFonts w:ascii="Arial Narrow" w:hAnsi="Arial Narrow"/>
          <w:szCs w:val="24"/>
        </w:rPr>
        <w:t>La Loi dispose que : « </w:t>
      </w:r>
      <w:r w:rsidRPr="00F12251">
        <w:rPr>
          <w:rFonts w:ascii="Arial Narrow" w:hAnsi="Arial Narrow"/>
          <w:i/>
          <w:szCs w:val="24"/>
        </w:rPr>
        <w:t xml:space="preserve">le contrat est un accord de volontés entre deux ou </w:t>
      </w:r>
      <w:proofErr w:type="gramStart"/>
      <w:r w:rsidRPr="00F12251">
        <w:rPr>
          <w:rFonts w:ascii="Arial Narrow" w:hAnsi="Arial Narrow"/>
          <w:i/>
          <w:szCs w:val="24"/>
        </w:rPr>
        <w:t>plusieurs personnes destiné</w:t>
      </w:r>
      <w:proofErr w:type="gramEnd"/>
      <w:r w:rsidRPr="00F12251">
        <w:rPr>
          <w:rFonts w:ascii="Arial Narrow" w:hAnsi="Arial Narrow"/>
          <w:i/>
          <w:szCs w:val="24"/>
        </w:rPr>
        <w:t xml:space="preserve"> à créer, modifier, transmettre ou éteindre des obligations</w:t>
      </w:r>
      <w:r w:rsidRPr="00F12251">
        <w:rPr>
          <w:rFonts w:ascii="Arial Narrow" w:hAnsi="Arial Narrow"/>
          <w:szCs w:val="24"/>
        </w:rPr>
        <w:t> » (article 1101 du Code civil). Et : « </w:t>
      </w:r>
      <w:r w:rsidRPr="00F12251">
        <w:rPr>
          <w:rFonts w:ascii="Arial Narrow" w:hAnsi="Arial Narrow"/>
          <w:i/>
          <w:szCs w:val="24"/>
        </w:rPr>
        <w:t>Chacun est libre de contracter ou de ne pas contracter, de choisir son cocontractant et de déterminer le contenu et la forme du contrat dans les limites fixées par la loi</w:t>
      </w:r>
      <w:r w:rsidRPr="00F12251">
        <w:rPr>
          <w:rFonts w:ascii="Arial Narrow" w:hAnsi="Arial Narrow"/>
          <w:szCs w:val="24"/>
        </w:rPr>
        <w:t> » (article 1102 du Code civil). Entraînant que «</w:t>
      </w:r>
      <w:r w:rsidRPr="00F12251">
        <w:rPr>
          <w:rFonts w:ascii="Arial Narrow" w:hAnsi="Arial Narrow"/>
          <w:b/>
          <w:bCs/>
          <w:szCs w:val="24"/>
        </w:rPr>
        <w:t> </w:t>
      </w:r>
      <w:r w:rsidRPr="00F12251">
        <w:rPr>
          <w:rFonts w:ascii="Arial Narrow" w:hAnsi="Arial Narrow"/>
          <w:i/>
          <w:szCs w:val="24"/>
        </w:rPr>
        <w:t>Les contrats légalement formés tiennent lieu de loi à ceux qui les ont faits</w:t>
      </w:r>
      <w:r w:rsidRPr="00F12251">
        <w:rPr>
          <w:rFonts w:ascii="Arial Narrow" w:hAnsi="Arial Narrow"/>
          <w:szCs w:val="24"/>
        </w:rPr>
        <w:t> » (article 1103 du Code civil).</w:t>
      </w:r>
    </w:p>
    <w:p w14:paraId="242B54F1" w14:textId="77777777" w:rsidR="00847AB0" w:rsidRPr="00F12251" w:rsidRDefault="00847AB0" w:rsidP="00847AB0">
      <w:pPr>
        <w:rPr>
          <w:rFonts w:ascii="Arial Narrow" w:hAnsi="Arial Narrow"/>
          <w:szCs w:val="24"/>
        </w:rPr>
      </w:pPr>
    </w:p>
    <w:p w14:paraId="2D6675FF" w14:textId="5F5F198E" w:rsidR="00847AB0" w:rsidRPr="00F12251" w:rsidRDefault="00847AB0" w:rsidP="00847AB0">
      <w:pPr>
        <w:rPr>
          <w:rFonts w:ascii="Arial Narrow" w:hAnsi="Arial Narrow"/>
          <w:szCs w:val="24"/>
        </w:rPr>
      </w:pPr>
      <w:r w:rsidRPr="00F12251">
        <w:rPr>
          <w:rFonts w:ascii="Arial Narrow" w:hAnsi="Arial Narrow"/>
          <w:szCs w:val="24"/>
        </w:rPr>
        <w:t>En particulier : « </w:t>
      </w:r>
      <w:r w:rsidRPr="00F12251">
        <w:rPr>
          <w:rFonts w:ascii="Arial Narrow" w:hAnsi="Arial Narrow"/>
          <w:i/>
          <w:szCs w:val="24"/>
        </w:rPr>
        <w:t xml:space="preserve">le mandat ou procuration est un acte par lequel une personne donne à une autre le pouvoir de faire quelque chose pour le mandant et en son nom </w:t>
      </w:r>
      <w:r w:rsidRPr="00F12251">
        <w:rPr>
          <w:rFonts w:ascii="Arial Narrow" w:hAnsi="Arial Narrow"/>
          <w:szCs w:val="24"/>
        </w:rPr>
        <w:t>» (article 1984 du Code civil).</w:t>
      </w:r>
      <w:r w:rsidR="00BD2709">
        <w:rPr>
          <w:rFonts w:ascii="Arial Narrow" w:hAnsi="Arial Narrow"/>
          <w:szCs w:val="24"/>
        </w:rPr>
        <w:t xml:space="preserve"> Le mandat donné doit être respecté </w:t>
      </w:r>
      <w:r w:rsidR="008625FE">
        <w:rPr>
          <w:rFonts w:ascii="Arial Narrow" w:hAnsi="Arial Narrow"/>
          <w:szCs w:val="24"/>
        </w:rPr>
        <w:t>par les tiers à ce contrat : ils ne disposent pas du droit de remettre en cause le choix d’un mandataire, par le mandant, Consommateur.</w:t>
      </w:r>
    </w:p>
    <w:p w14:paraId="4EC98650" w14:textId="77777777" w:rsidR="00847AB0" w:rsidRPr="00F12251" w:rsidRDefault="00847AB0" w:rsidP="00847AB0">
      <w:pPr>
        <w:rPr>
          <w:rFonts w:ascii="Arial Narrow" w:hAnsi="Arial Narrow"/>
          <w:szCs w:val="24"/>
        </w:rPr>
      </w:pPr>
    </w:p>
    <w:p w14:paraId="24327A44" w14:textId="6BBB6226" w:rsidR="00847AB0" w:rsidRDefault="00847AB0" w:rsidP="00847AB0">
      <w:pPr>
        <w:rPr>
          <w:rFonts w:ascii="Arial Narrow" w:hAnsi="Arial Narrow"/>
          <w:szCs w:val="24"/>
        </w:rPr>
      </w:pPr>
      <w:r w:rsidRPr="00F12251">
        <w:rPr>
          <w:rFonts w:ascii="Arial Narrow" w:hAnsi="Arial Narrow"/>
          <w:szCs w:val="24"/>
        </w:rPr>
        <w:t>Tout contrat, quel qu’il soit, est opposable aux tiers, car : « </w:t>
      </w:r>
      <w:r w:rsidRPr="00F12251">
        <w:rPr>
          <w:rFonts w:ascii="Arial Narrow" w:hAnsi="Arial Narrow"/>
          <w:i/>
          <w:iCs/>
          <w:szCs w:val="24"/>
        </w:rPr>
        <w:t>les tiers doivent respecter la situation juridique créée par le contrat</w:t>
      </w:r>
      <w:r w:rsidRPr="00F12251">
        <w:rPr>
          <w:rFonts w:ascii="Arial Narrow" w:hAnsi="Arial Narrow"/>
          <w:szCs w:val="24"/>
        </w:rPr>
        <w:t xml:space="preserve"> » (article 1200 du Code civil). Le contrat de mandat ne fait pas exception à ce principe juridique général posé par le droit des contrats. Le contrat de mandat confié par un Consommateur à un </w:t>
      </w:r>
      <w:r w:rsidRPr="00F12251">
        <w:rPr>
          <w:rFonts w:ascii="Arial Narrow" w:hAnsi="Arial Narrow"/>
          <w:szCs w:val="24"/>
        </w:rPr>
        <w:lastRenderedPageBreak/>
        <w:t>Courtier en crédit est donc opposable à l’établissement de crédit, qui ne peut de la sorte refuser l’instruction de la demande de crédit ainsi sollicitée par le Consommateur.</w:t>
      </w:r>
    </w:p>
    <w:p w14:paraId="0EB14E7C" w14:textId="431C9621" w:rsidR="00AA6FC0" w:rsidRDefault="00AA6FC0" w:rsidP="00847AB0">
      <w:pPr>
        <w:rPr>
          <w:rFonts w:ascii="Arial Narrow" w:hAnsi="Arial Narrow"/>
          <w:szCs w:val="24"/>
        </w:rPr>
      </w:pPr>
    </w:p>
    <w:p w14:paraId="0DE7B4C6" w14:textId="0EDE8120" w:rsidR="00847AB0" w:rsidRPr="00F12251" w:rsidRDefault="00AA6FC0" w:rsidP="00847AB0">
      <w:pPr>
        <w:rPr>
          <w:rFonts w:ascii="Arial Narrow" w:hAnsi="Arial Narrow"/>
          <w:b/>
          <w:bCs/>
          <w:szCs w:val="24"/>
        </w:rPr>
      </w:pPr>
      <w:r>
        <w:rPr>
          <w:rFonts w:ascii="Arial Narrow" w:hAnsi="Arial Narrow"/>
          <w:szCs w:val="24"/>
        </w:rPr>
        <w:t>Ceci, que l’Intermédiaire bancaire agisse dans le cadre d’un contrat de mandat (Courtier-IOBSP), ou dans celui du service indépendant de conseil en crédit immobilier. Car l</w:t>
      </w:r>
      <w:r w:rsidR="00847AB0" w:rsidRPr="00F12251">
        <w:rPr>
          <w:rFonts w:ascii="Arial Narrow" w:eastAsia="Calibri" w:hAnsi="Arial Narrow" w:cs="Calibri"/>
          <w:szCs w:val="24"/>
          <w:lang w:eastAsia="en-US"/>
        </w:rPr>
        <w:t>orsque le Consommateur s’adresse à un Courtier non pas dans le cadre d’un contrat de mandat de courtage en crédit, mais dans celui du conseil indépendant en crédit immobilier (articles L. 519-1-1 du Code monétaire et financier et L. 313-13 du Code de la consommation), l’établissement de crédit ne peut davantage refuser d’instruire la demande de crédit du Consommateur. Le Consommateur, candidat à l’emprunt, dispose également du droit de formuler sa demande de prêt en bénéficiant du service indépendant de conseil en crédit immobilier</w:t>
      </w:r>
      <w:r>
        <w:rPr>
          <w:rFonts w:ascii="Arial Narrow" w:eastAsia="Calibri" w:hAnsi="Arial Narrow" w:cs="Calibri"/>
          <w:szCs w:val="24"/>
          <w:lang w:eastAsia="en-US"/>
        </w:rPr>
        <w:t>, prévu par la législation européenne</w:t>
      </w:r>
      <w:r w:rsidR="00847AB0" w:rsidRPr="00F12251">
        <w:rPr>
          <w:rFonts w:ascii="Arial Narrow" w:eastAsia="Calibri" w:hAnsi="Arial Narrow" w:cs="Calibri"/>
          <w:szCs w:val="24"/>
          <w:lang w:eastAsia="en-US"/>
        </w:rPr>
        <w:t xml:space="preserve">. En pareil cas, une fois le conseil en crédit délivré par l’IOBSP, le Consommateur sollicite directement l’établissement de crédit prêteur, qui ne peut davantage refuser d’instruire et de répondre à cette demande. </w:t>
      </w:r>
    </w:p>
    <w:p w14:paraId="0D0ECF53" w14:textId="77777777" w:rsidR="00847AB0" w:rsidRPr="00F12251" w:rsidRDefault="00847AB0" w:rsidP="00847AB0">
      <w:pPr>
        <w:rPr>
          <w:rFonts w:ascii="Arial Narrow" w:hAnsi="Arial Narrow"/>
          <w:szCs w:val="24"/>
        </w:rPr>
      </w:pPr>
    </w:p>
    <w:p w14:paraId="0C3449E5" w14:textId="7CB6B4AA" w:rsidR="00847AB0" w:rsidRDefault="00847AB0" w:rsidP="00847AB0">
      <w:pPr>
        <w:rPr>
          <w:rFonts w:ascii="Arial Narrow" w:hAnsi="Arial Narrow"/>
          <w:szCs w:val="24"/>
        </w:rPr>
      </w:pPr>
      <w:r w:rsidRPr="00F12251">
        <w:rPr>
          <w:rFonts w:ascii="Arial Narrow" w:hAnsi="Arial Narrow"/>
          <w:szCs w:val="24"/>
        </w:rPr>
        <w:t xml:space="preserve">La législation n’exige </w:t>
      </w:r>
      <w:r w:rsidRPr="00F12251">
        <w:rPr>
          <w:rFonts w:ascii="Arial Narrow" w:hAnsi="Arial Narrow"/>
          <w:szCs w:val="24"/>
          <w:u w:val="single"/>
        </w:rPr>
        <w:t>en aucun cas</w:t>
      </w:r>
      <w:r w:rsidRPr="00F12251">
        <w:rPr>
          <w:rFonts w:ascii="Arial Narrow" w:hAnsi="Arial Narrow"/>
          <w:szCs w:val="24"/>
        </w:rPr>
        <w:t xml:space="preserve"> l</w:t>
      </w:r>
      <w:r w:rsidR="00AA6FC0">
        <w:rPr>
          <w:rFonts w:ascii="Arial Narrow" w:hAnsi="Arial Narrow"/>
          <w:szCs w:val="24"/>
        </w:rPr>
        <w:t>’existence</w:t>
      </w:r>
      <w:r w:rsidRPr="00F12251">
        <w:rPr>
          <w:rFonts w:ascii="Arial Narrow" w:hAnsi="Arial Narrow"/>
          <w:szCs w:val="24"/>
        </w:rPr>
        <w:t xml:space="preserve"> d’une </w:t>
      </w:r>
      <w:r w:rsidR="00AA6FC0">
        <w:rPr>
          <w:rFonts w:ascii="Arial Narrow" w:hAnsi="Arial Narrow"/>
          <w:szCs w:val="24"/>
        </w:rPr>
        <w:t xml:space="preserve">quelconque </w:t>
      </w:r>
      <w:r w:rsidRPr="00F12251">
        <w:rPr>
          <w:rFonts w:ascii="Arial Narrow" w:hAnsi="Arial Narrow"/>
          <w:szCs w:val="24"/>
        </w:rPr>
        <w:t>« </w:t>
      </w:r>
      <w:r w:rsidRPr="00F12251">
        <w:rPr>
          <w:rFonts w:ascii="Arial Narrow" w:hAnsi="Arial Narrow"/>
          <w:i/>
          <w:iCs/>
          <w:szCs w:val="24"/>
        </w:rPr>
        <w:t>convention de partenariat</w:t>
      </w:r>
      <w:r w:rsidRPr="00F12251">
        <w:rPr>
          <w:rFonts w:ascii="Arial Narrow" w:hAnsi="Arial Narrow"/>
          <w:szCs w:val="24"/>
        </w:rPr>
        <w:t xml:space="preserve"> » entre le Courtier-IOBSP et l’établissement de crédit, en particulier comme condition d’instruction des demandes de financement confiées par des Consommateurs à des Courtiers-IOBSP (articles L. 519-1, I et R. 519-4, I, 2° du Code monétaire et financier). Il n’existe aucune exigence juridique pour ouvrir (ou pour interdire) la faculté à un Consommateur de déposer une demande de crédit dans tout établissement de crédit, qu’il en soit déjà client, ou non. Le droit de la distribution bancaire ne nécessite ainsi aucunement l’existence d’une telle convention pour qu’un Consommateur s’adressant à un Courtier-IOBSP puisse adresser ses demandes de crédit à un établissement prêteur. </w:t>
      </w:r>
      <w:r w:rsidR="00D55857">
        <w:rPr>
          <w:rFonts w:ascii="Arial Narrow" w:hAnsi="Arial Narrow"/>
          <w:szCs w:val="24"/>
        </w:rPr>
        <w:t>L’établissement de crédit commet donc une faute en refusant d’instruire une demande de crédit, au motif de l’inexistence d’une « convention » qu’il accorde ou refuse, unilatéralement.</w:t>
      </w:r>
    </w:p>
    <w:p w14:paraId="7DBEF75A" w14:textId="22244397" w:rsidR="00AA6FC0" w:rsidRDefault="00AA6FC0" w:rsidP="00847AB0">
      <w:pPr>
        <w:rPr>
          <w:rFonts w:ascii="Arial Narrow" w:hAnsi="Arial Narrow"/>
          <w:szCs w:val="24"/>
        </w:rPr>
      </w:pPr>
    </w:p>
    <w:p w14:paraId="6441B020" w14:textId="74FBE3AA" w:rsidR="00AA6FC0" w:rsidRDefault="00AA6FC0" w:rsidP="00847AB0">
      <w:pPr>
        <w:rPr>
          <w:rFonts w:ascii="Arial Narrow" w:hAnsi="Arial Narrow"/>
          <w:szCs w:val="24"/>
        </w:rPr>
      </w:pPr>
      <w:r>
        <w:rPr>
          <w:rFonts w:ascii="Arial Narrow" w:hAnsi="Arial Narrow"/>
          <w:szCs w:val="24"/>
        </w:rPr>
        <w:t xml:space="preserve">De même, les dispositions en vigueur en matière d’accès au crédit immobilier </w:t>
      </w:r>
      <w:r w:rsidR="00B91D75">
        <w:rPr>
          <w:rFonts w:ascii="Arial Narrow" w:hAnsi="Arial Narrow"/>
          <w:szCs w:val="24"/>
        </w:rPr>
        <w:t>(édictées par le Haut Conseil de S</w:t>
      </w:r>
      <w:r w:rsidR="00D55857">
        <w:rPr>
          <w:rFonts w:ascii="Arial Narrow" w:hAnsi="Arial Narrow"/>
          <w:szCs w:val="24"/>
        </w:rPr>
        <w:t>tabilit</w:t>
      </w:r>
      <w:r w:rsidR="00B91D75">
        <w:rPr>
          <w:rFonts w:ascii="Arial Narrow" w:hAnsi="Arial Narrow"/>
          <w:szCs w:val="24"/>
        </w:rPr>
        <w:t xml:space="preserve">é Financière) </w:t>
      </w:r>
      <w:r>
        <w:rPr>
          <w:rFonts w:ascii="Arial Narrow" w:hAnsi="Arial Narrow"/>
          <w:szCs w:val="24"/>
        </w:rPr>
        <w:t>ne saurai</w:t>
      </w:r>
      <w:r w:rsidR="00B91D75">
        <w:rPr>
          <w:rFonts w:ascii="Arial Narrow" w:hAnsi="Arial Narrow"/>
          <w:szCs w:val="24"/>
        </w:rPr>
        <w:t>en</w:t>
      </w:r>
      <w:r>
        <w:rPr>
          <w:rFonts w:ascii="Arial Narrow" w:hAnsi="Arial Narrow"/>
          <w:szCs w:val="24"/>
        </w:rPr>
        <w:t xml:space="preserve">t justifier </w:t>
      </w:r>
      <w:r w:rsidR="00D55857">
        <w:rPr>
          <w:rFonts w:ascii="Arial Narrow" w:hAnsi="Arial Narrow"/>
          <w:szCs w:val="24"/>
        </w:rPr>
        <w:t xml:space="preserve">en </w:t>
      </w:r>
      <w:r>
        <w:rPr>
          <w:rFonts w:ascii="Arial Narrow" w:hAnsi="Arial Narrow"/>
          <w:szCs w:val="24"/>
        </w:rPr>
        <w:t xml:space="preserve">aucune manière qu’un établissement de crédit refuse d’examiner les demandes de crédit immobilier émanant de telle ou telle « catégorie » de Consommateurs. </w:t>
      </w:r>
      <w:r w:rsidR="00B91D75">
        <w:rPr>
          <w:rFonts w:ascii="Arial Narrow" w:hAnsi="Arial Narrow"/>
          <w:szCs w:val="24"/>
        </w:rPr>
        <w:t xml:space="preserve">Le HCSF ne vise </w:t>
      </w:r>
      <w:r w:rsidR="00D55857">
        <w:rPr>
          <w:rFonts w:ascii="Arial Narrow" w:hAnsi="Arial Narrow"/>
          <w:szCs w:val="24"/>
        </w:rPr>
        <w:t xml:space="preserve">aucunement </w:t>
      </w:r>
      <w:r w:rsidR="00B91D75">
        <w:rPr>
          <w:rFonts w:ascii="Arial Narrow" w:hAnsi="Arial Narrow"/>
          <w:szCs w:val="24"/>
        </w:rPr>
        <w:t xml:space="preserve">le mode de présentation d’une demande de crédit immobilier, parmi les critères d’octroi. </w:t>
      </w:r>
      <w:r>
        <w:rPr>
          <w:rFonts w:ascii="Arial Narrow" w:hAnsi="Arial Narrow"/>
          <w:szCs w:val="24"/>
        </w:rPr>
        <w:t>Les annonces publiques de telles pratiques doivent être poursuivies et sanctionnées, si nécessaire.</w:t>
      </w:r>
    </w:p>
    <w:p w14:paraId="7E59F407" w14:textId="5BF3B9BC" w:rsidR="00706726" w:rsidRDefault="00706726" w:rsidP="00847AB0">
      <w:pPr>
        <w:rPr>
          <w:rFonts w:ascii="Arial Narrow" w:hAnsi="Arial Narrow"/>
          <w:szCs w:val="24"/>
        </w:rPr>
      </w:pPr>
    </w:p>
    <w:p w14:paraId="3029519E" w14:textId="653ACA60" w:rsidR="00706726" w:rsidRPr="00706726" w:rsidRDefault="00706726" w:rsidP="00847AB0">
      <w:pPr>
        <w:rPr>
          <w:rFonts w:ascii="Arial Narrow" w:hAnsi="Arial Narrow"/>
          <w:i/>
          <w:iCs/>
          <w:szCs w:val="24"/>
        </w:rPr>
      </w:pPr>
      <w:r w:rsidRPr="00706726">
        <w:rPr>
          <w:rFonts w:ascii="Arial Narrow" w:hAnsi="Arial Narrow"/>
          <w:i/>
          <w:iCs/>
          <w:szCs w:val="24"/>
        </w:rPr>
        <w:t xml:space="preserve">Il résulte de ces dispositions juridiques que le Courtier dispose du droit de solliciter </w:t>
      </w:r>
      <w:r w:rsidRPr="00706726">
        <w:rPr>
          <w:rFonts w:ascii="Arial Narrow" w:hAnsi="Arial Narrow"/>
          <w:i/>
          <w:iCs/>
          <w:szCs w:val="24"/>
          <w:u w:val="single"/>
        </w:rPr>
        <w:t>toute banque</w:t>
      </w:r>
      <w:r w:rsidRPr="00706726">
        <w:rPr>
          <w:rFonts w:ascii="Arial Narrow" w:hAnsi="Arial Narrow"/>
          <w:i/>
          <w:iCs/>
          <w:szCs w:val="24"/>
        </w:rPr>
        <w:t>, au nom du candidat à l’emprunt.</w:t>
      </w:r>
    </w:p>
    <w:p w14:paraId="4D038625" w14:textId="2F7DBC83" w:rsidR="00847AB0" w:rsidRDefault="00847AB0" w:rsidP="00847AB0">
      <w:pPr>
        <w:rPr>
          <w:rFonts w:ascii="Arial Narrow" w:hAnsi="Arial Narrow"/>
          <w:szCs w:val="24"/>
        </w:rPr>
      </w:pPr>
    </w:p>
    <w:p w14:paraId="05B5C9C1" w14:textId="77777777" w:rsidR="00AA6FC0" w:rsidRPr="00F12251" w:rsidRDefault="00AA6FC0" w:rsidP="00847AB0">
      <w:pPr>
        <w:rPr>
          <w:rFonts w:ascii="Arial Narrow" w:hAnsi="Arial Narrow"/>
          <w:szCs w:val="24"/>
        </w:rPr>
      </w:pPr>
    </w:p>
    <w:p w14:paraId="38E67246" w14:textId="01B49988" w:rsidR="00847AB0" w:rsidRPr="00F12251" w:rsidRDefault="00AA6FC0" w:rsidP="00847AB0">
      <w:pPr>
        <w:rPr>
          <w:rFonts w:ascii="Arial Narrow" w:hAnsi="Arial Narrow"/>
          <w:szCs w:val="24"/>
        </w:rPr>
      </w:pPr>
      <w:r w:rsidRPr="00AA6FC0">
        <w:rPr>
          <w:rFonts w:ascii="Arial Narrow" w:hAnsi="Arial Narrow"/>
          <w:b/>
          <w:bCs/>
          <w:szCs w:val="24"/>
        </w:rPr>
        <w:t>En Droit, troisièmement,</w:t>
      </w:r>
      <w:r>
        <w:rPr>
          <w:rFonts w:ascii="Arial Narrow" w:hAnsi="Arial Narrow"/>
          <w:szCs w:val="24"/>
        </w:rPr>
        <w:t xml:space="preserve"> </w:t>
      </w:r>
      <w:r w:rsidR="00847AB0" w:rsidRPr="00F12251">
        <w:rPr>
          <w:rFonts w:ascii="Arial Narrow" w:hAnsi="Arial Narrow"/>
          <w:szCs w:val="24"/>
        </w:rPr>
        <w:t>l’exercice libre du courtage en crédit ne saurait faire l’objet d’entrave infondée de la part d’un agent économique concurrent, en distribution</w:t>
      </w:r>
      <w:r w:rsidR="00B91D75">
        <w:rPr>
          <w:rFonts w:ascii="Arial Narrow" w:hAnsi="Arial Narrow"/>
          <w:szCs w:val="24"/>
        </w:rPr>
        <w:t xml:space="preserve"> du crédit</w:t>
      </w:r>
      <w:r w:rsidR="00847AB0" w:rsidRPr="00F12251">
        <w:rPr>
          <w:rFonts w:ascii="Arial Narrow" w:hAnsi="Arial Narrow"/>
          <w:szCs w:val="24"/>
        </w:rPr>
        <w:t>, du Courtier en crédit. La liberté d’entreprendre est garantie par la Déclaration des Droits de l’Homme et du Citoyen de 1789 : « </w:t>
      </w:r>
      <w:r w:rsidR="00847AB0" w:rsidRPr="00F12251">
        <w:rPr>
          <w:rFonts w:ascii="Arial Narrow" w:hAnsi="Arial Narrow"/>
          <w:i/>
          <w:iCs/>
          <w:szCs w:val="24"/>
        </w:rPr>
        <w:t>la liberté consiste à pouvoir faire tout ce qui ne nuit pas à autrui : ainsi, l'exercice des droits naturels de chaque homme n'a de bornes que celles qui assurent aux autres Membres de la Société la jouissance de ces mêmes droits. Ces bornes ne peuvent être déterminées que par la Loi </w:t>
      </w:r>
      <w:r w:rsidR="00847AB0" w:rsidRPr="00F12251">
        <w:rPr>
          <w:rFonts w:ascii="Arial Narrow" w:hAnsi="Arial Narrow"/>
          <w:szCs w:val="24"/>
        </w:rPr>
        <w:t>» (article 4 de la Déclaration des Droits de l’Homme et du Citoyen de 1789). Toute limitation à la liberté d’entreprendre doit être justifiée par une exigence constitutionnelle ou par un motif d'intérêt général. Ainsi « </w:t>
      </w:r>
      <w:r w:rsidR="00847AB0" w:rsidRPr="00F12251">
        <w:rPr>
          <w:rFonts w:ascii="Arial Narrow" w:hAnsi="Arial Narrow"/>
          <w:i/>
          <w:iCs/>
          <w:szCs w:val="24"/>
        </w:rPr>
        <w:t>[…] il est loisible au législateur d'apporter à la liberté d'entreprendre, qui découle de l'article 4 de la Déclaration des droits de l'homme et du citoyen de 1789, des limitations liées à des exigences constitutionnelles ou justifiées par l'intérêt général, à la condition qu'il n'en résulte pas d'atteintes disproportionnées au regard de l'objectif poursuivi</w:t>
      </w:r>
      <w:r w:rsidR="00847AB0" w:rsidRPr="00F12251">
        <w:rPr>
          <w:rFonts w:ascii="Arial Narrow" w:hAnsi="Arial Narrow"/>
          <w:szCs w:val="24"/>
        </w:rPr>
        <w:t> » (Décision 2000-439 DC du 16 janvier 2001).</w:t>
      </w:r>
    </w:p>
    <w:p w14:paraId="7BBACA68" w14:textId="77777777" w:rsidR="00847AB0" w:rsidRPr="00F12251" w:rsidRDefault="00847AB0" w:rsidP="00847AB0">
      <w:pPr>
        <w:rPr>
          <w:rFonts w:ascii="Arial Narrow" w:hAnsi="Arial Narrow"/>
          <w:szCs w:val="24"/>
        </w:rPr>
      </w:pPr>
    </w:p>
    <w:p w14:paraId="47F3F5F6" w14:textId="6EFEB943" w:rsidR="00847AB0" w:rsidRPr="00F12251" w:rsidRDefault="00B91D75" w:rsidP="00847AB0">
      <w:pPr>
        <w:rPr>
          <w:rFonts w:ascii="Arial Narrow" w:hAnsi="Arial Narrow"/>
          <w:i/>
          <w:iCs/>
          <w:szCs w:val="24"/>
        </w:rPr>
      </w:pPr>
      <w:r>
        <w:rPr>
          <w:rFonts w:ascii="Arial Narrow" w:hAnsi="Arial Narrow"/>
          <w:szCs w:val="24"/>
        </w:rPr>
        <w:lastRenderedPageBreak/>
        <w:t>Tou</w:t>
      </w:r>
      <w:r w:rsidR="00C73399">
        <w:rPr>
          <w:rFonts w:ascii="Arial Narrow" w:hAnsi="Arial Narrow"/>
          <w:szCs w:val="24"/>
        </w:rPr>
        <w:t>s</w:t>
      </w:r>
      <w:r>
        <w:rPr>
          <w:rFonts w:ascii="Arial Narrow" w:hAnsi="Arial Narrow"/>
          <w:szCs w:val="24"/>
        </w:rPr>
        <w:t xml:space="preserve"> le</w:t>
      </w:r>
      <w:r w:rsidR="00847AB0" w:rsidRPr="00F12251">
        <w:rPr>
          <w:rFonts w:ascii="Arial Narrow" w:hAnsi="Arial Narrow"/>
          <w:szCs w:val="24"/>
        </w:rPr>
        <w:t xml:space="preserve">s agents économiques </w:t>
      </w:r>
      <w:r w:rsidR="00C73399">
        <w:rPr>
          <w:rFonts w:ascii="Arial Narrow" w:hAnsi="Arial Narrow"/>
          <w:szCs w:val="24"/>
        </w:rPr>
        <w:t>son</w:t>
      </w:r>
      <w:r w:rsidR="00847AB0" w:rsidRPr="00F12251">
        <w:rPr>
          <w:rFonts w:ascii="Arial Narrow" w:hAnsi="Arial Narrow"/>
          <w:szCs w:val="24"/>
        </w:rPr>
        <w:t xml:space="preserve">t </w:t>
      </w:r>
      <w:r w:rsidR="00C73399">
        <w:rPr>
          <w:rFonts w:ascii="Arial Narrow" w:hAnsi="Arial Narrow"/>
          <w:szCs w:val="24"/>
        </w:rPr>
        <w:t>tenus d’</w:t>
      </w:r>
      <w:r w:rsidR="00847AB0" w:rsidRPr="00F12251">
        <w:rPr>
          <w:rFonts w:ascii="Arial Narrow" w:hAnsi="Arial Narrow"/>
          <w:szCs w:val="24"/>
        </w:rPr>
        <w:t xml:space="preserve">appliquer </w:t>
      </w:r>
      <w:r w:rsidR="00847AB0" w:rsidRPr="00D55857">
        <w:rPr>
          <w:rFonts w:ascii="Arial Narrow" w:hAnsi="Arial Narrow"/>
          <w:szCs w:val="24"/>
          <w:u w:val="single"/>
        </w:rPr>
        <w:t>les principes de libre concurrence</w:t>
      </w:r>
      <w:r w:rsidR="00847AB0" w:rsidRPr="00F12251">
        <w:rPr>
          <w:rFonts w:ascii="Arial Narrow" w:hAnsi="Arial Narrow"/>
          <w:szCs w:val="24"/>
        </w:rPr>
        <w:t>. Ainsi « </w:t>
      </w:r>
      <w:r w:rsidR="00847AB0" w:rsidRPr="00F12251">
        <w:rPr>
          <w:rFonts w:ascii="Arial Narrow" w:hAnsi="Arial Narrow"/>
          <w:i/>
          <w:iCs/>
          <w:szCs w:val="24"/>
        </w:rPr>
        <w:t>sont prohibées même par l'intermédiaire direct ou indirect d'une société du groupe implantée hors de France, lorsqu'elles ont pour objet ou peuvent avoir pour effet d'empêcher, de restreindre ou de fausser le jeu de la concurrence sur un marché, les actions concertées, conventions, ententes expresses ou tacites ou coalitions, notamment lorsqu'elles tendent à :</w:t>
      </w:r>
    </w:p>
    <w:p w14:paraId="752FB3B5" w14:textId="77777777" w:rsidR="00847AB0" w:rsidRPr="00F12251" w:rsidRDefault="00847AB0" w:rsidP="00847AB0">
      <w:pPr>
        <w:rPr>
          <w:rFonts w:ascii="Arial Narrow" w:hAnsi="Arial Narrow"/>
          <w:i/>
          <w:iCs/>
          <w:szCs w:val="24"/>
        </w:rPr>
      </w:pPr>
    </w:p>
    <w:p w14:paraId="420E22AF" w14:textId="77777777" w:rsidR="00847AB0" w:rsidRPr="00F12251" w:rsidRDefault="00847AB0" w:rsidP="00847AB0">
      <w:pPr>
        <w:rPr>
          <w:rFonts w:ascii="Arial Narrow" w:hAnsi="Arial Narrow"/>
          <w:szCs w:val="24"/>
        </w:rPr>
      </w:pPr>
      <w:r w:rsidRPr="00F12251">
        <w:rPr>
          <w:rFonts w:ascii="Arial Narrow" w:hAnsi="Arial Narrow"/>
          <w:i/>
          <w:iCs/>
          <w:szCs w:val="24"/>
        </w:rPr>
        <w:t>1° Limiter l'accès au marché ou le libre exercice de la concurrence par d'autres entreprises</w:t>
      </w:r>
      <w:r w:rsidRPr="00F12251">
        <w:rPr>
          <w:rFonts w:ascii="Arial Narrow" w:hAnsi="Arial Narrow"/>
          <w:szCs w:val="24"/>
        </w:rPr>
        <w:t xml:space="preserve"> ;</w:t>
      </w:r>
    </w:p>
    <w:p w14:paraId="33557E33" w14:textId="77777777" w:rsidR="00847AB0" w:rsidRPr="00F12251" w:rsidRDefault="00847AB0" w:rsidP="00847AB0">
      <w:pPr>
        <w:rPr>
          <w:rFonts w:ascii="Arial Narrow" w:hAnsi="Arial Narrow"/>
          <w:szCs w:val="24"/>
        </w:rPr>
      </w:pPr>
      <w:r w:rsidRPr="00F12251">
        <w:rPr>
          <w:rFonts w:ascii="Arial Narrow" w:hAnsi="Arial Narrow"/>
          <w:szCs w:val="24"/>
        </w:rPr>
        <w:t>[…] » (article L. 420-1 du Code de commerce).</w:t>
      </w:r>
    </w:p>
    <w:p w14:paraId="71D73035" w14:textId="77777777" w:rsidR="00847AB0" w:rsidRPr="00F12251" w:rsidRDefault="00847AB0" w:rsidP="00847AB0">
      <w:pPr>
        <w:rPr>
          <w:rFonts w:ascii="Arial Narrow" w:hAnsi="Arial Narrow"/>
          <w:szCs w:val="24"/>
        </w:rPr>
      </w:pPr>
    </w:p>
    <w:p w14:paraId="67615E9B" w14:textId="77777777" w:rsidR="00847AB0" w:rsidRPr="00F12251" w:rsidRDefault="00847AB0" w:rsidP="00847AB0">
      <w:pPr>
        <w:rPr>
          <w:rFonts w:ascii="Arial Narrow" w:hAnsi="Arial Narrow"/>
          <w:i/>
          <w:iCs/>
          <w:szCs w:val="24"/>
        </w:rPr>
      </w:pPr>
      <w:r w:rsidRPr="00F12251">
        <w:rPr>
          <w:rFonts w:ascii="Arial Narrow" w:hAnsi="Arial Narrow"/>
          <w:szCs w:val="24"/>
        </w:rPr>
        <w:t>De même « </w:t>
      </w:r>
      <w:r w:rsidRPr="00F12251">
        <w:rPr>
          <w:rFonts w:ascii="Arial Narrow" w:hAnsi="Arial Narrow"/>
          <w:i/>
          <w:iCs/>
          <w:szCs w:val="24"/>
        </w:rPr>
        <w:t>est prohibée, dans les conditions prévues à l'article L. 420-1, l'exploitation abusive par une entreprise ou un groupe d'entreprises d'une position dominante sur le marché intérieur ou une partie substantielle de celui-ci. Ces abus peuvent notamment consister en refus de vente, en ventes liées ou en conditions de vente discriminatoires ainsi que dans la rupture de relations commerciales établies, au seul motif que le partenaire refuse de se soumettre à des conditions commerciales injustifiées.</w:t>
      </w:r>
    </w:p>
    <w:p w14:paraId="07179AC4" w14:textId="28C075B0" w:rsidR="00847AB0" w:rsidRDefault="00847AB0" w:rsidP="00847AB0">
      <w:pPr>
        <w:rPr>
          <w:rFonts w:ascii="Arial Narrow" w:hAnsi="Arial Narrow"/>
          <w:szCs w:val="24"/>
        </w:rPr>
      </w:pPr>
      <w:r w:rsidRPr="00F12251">
        <w:rPr>
          <w:rFonts w:ascii="Arial Narrow" w:hAnsi="Arial Narrow"/>
          <w:i/>
          <w:iCs/>
          <w:szCs w:val="24"/>
        </w:rPr>
        <w:t>Est en outre prohibée, dès lors qu'elle est susceptible d'affecter le fonctionnement ou la structure de la concurrence, l'exploitation abusive par une entreprise ou un groupe d'entreprises de l'état de dépendance économique dans lequel se trouve à son égard une entreprise cliente ou fournisseur. Ces abus peuvent notamment consister en refus de vente, en ventes liées, en pratiques discriminatoires visées aux articles L. 442-1 à L. 442-3 ou en accords de gamme</w:t>
      </w:r>
      <w:r w:rsidRPr="00F12251">
        <w:rPr>
          <w:rFonts w:ascii="Arial Narrow" w:hAnsi="Arial Narrow"/>
          <w:szCs w:val="24"/>
        </w:rPr>
        <w:t> » (article L. 420-2 du Code de commerce).</w:t>
      </w:r>
    </w:p>
    <w:p w14:paraId="7A6FAF3C" w14:textId="29A289E2" w:rsidR="00706726" w:rsidRDefault="00706726" w:rsidP="00847AB0">
      <w:pPr>
        <w:rPr>
          <w:rFonts w:ascii="Arial Narrow" w:hAnsi="Arial Narrow"/>
          <w:szCs w:val="24"/>
        </w:rPr>
      </w:pPr>
    </w:p>
    <w:p w14:paraId="5B906AF5" w14:textId="3C8C68E0" w:rsidR="00706726" w:rsidRPr="00F12251" w:rsidRDefault="00706726" w:rsidP="00847AB0">
      <w:pPr>
        <w:rPr>
          <w:rFonts w:ascii="Arial Narrow" w:hAnsi="Arial Narrow"/>
          <w:szCs w:val="24"/>
        </w:rPr>
      </w:pPr>
      <w:r>
        <w:rPr>
          <w:rFonts w:ascii="Arial Narrow" w:hAnsi="Arial Narrow"/>
          <w:szCs w:val="24"/>
        </w:rPr>
        <w:t>Les établissements de crédit agréés agissent, simultanément, comme producteurs et comme distributeurs de crédit immobilier. Dans leur fonction de distributeur, ils sont en concurrence avec les Intermédiaires en opérations de banque et en services de paiement. Les banques ne peuvent en aucune manière agir de manière à entraver la concurrence dans la distribution du crédit immobilier.</w:t>
      </w:r>
    </w:p>
    <w:p w14:paraId="2F990D12" w14:textId="77777777" w:rsidR="00847AB0" w:rsidRPr="00F12251" w:rsidRDefault="00847AB0" w:rsidP="00847AB0">
      <w:pPr>
        <w:rPr>
          <w:rFonts w:ascii="Arial Narrow" w:hAnsi="Arial Narrow"/>
          <w:szCs w:val="24"/>
        </w:rPr>
      </w:pPr>
    </w:p>
    <w:p w14:paraId="51632ADA" w14:textId="50C821AB" w:rsidR="00AA6FC0" w:rsidRPr="00706726" w:rsidRDefault="00706726" w:rsidP="00847AB0">
      <w:pPr>
        <w:spacing w:after="160" w:line="259" w:lineRule="auto"/>
        <w:rPr>
          <w:rFonts w:ascii="Arial Narrow" w:eastAsia="Calibri" w:hAnsi="Arial Narrow"/>
          <w:i/>
          <w:iCs/>
          <w:szCs w:val="24"/>
          <w:lang w:eastAsia="en-US"/>
        </w:rPr>
      </w:pPr>
      <w:r w:rsidRPr="00706726">
        <w:rPr>
          <w:rFonts w:ascii="Arial Narrow" w:eastAsia="Calibri" w:hAnsi="Arial Narrow"/>
          <w:i/>
          <w:iCs/>
          <w:szCs w:val="24"/>
          <w:lang w:eastAsia="en-US"/>
        </w:rPr>
        <w:t>Il résulte de ces dispositions</w:t>
      </w:r>
      <w:r>
        <w:rPr>
          <w:rFonts w:ascii="Arial Narrow" w:eastAsia="Calibri" w:hAnsi="Arial Narrow"/>
          <w:i/>
          <w:iCs/>
          <w:szCs w:val="24"/>
          <w:lang w:eastAsia="en-US"/>
        </w:rPr>
        <w:t xml:space="preserve"> que tout établissement de crédit </w:t>
      </w:r>
      <w:r w:rsidRPr="00706726">
        <w:rPr>
          <w:rFonts w:ascii="Arial Narrow" w:eastAsia="Calibri" w:hAnsi="Arial Narrow"/>
          <w:i/>
          <w:iCs/>
          <w:szCs w:val="24"/>
          <w:u w:val="single"/>
          <w:lang w:eastAsia="en-US"/>
        </w:rPr>
        <w:t>s’interdit de limiter l’accès au marché de la distribution du crédit immobilier</w:t>
      </w:r>
      <w:r>
        <w:rPr>
          <w:rFonts w:ascii="Arial Narrow" w:eastAsia="Calibri" w:hAnsi="Arial Narrow"/>
          <w:i/>
          <w:iCs/>
          <w:szCs w:val="24"/>
          <w:lang w:eastAsia="en-US"/>
        </w:rPr>
        <w:t>.</w:t>
      </w:r>
    </w:p>
    <w:p w14:paraId="77E78BC3" w14:textId="77777777" w:rsidR="00706726" w:rsidRDefault="00706726" w:rsidP="00847AB0">
      <w:pPr>
        <w:spacing w:after="160" w:line="259" w:lineRule="auto"/>
        <w:rPr>
          <w:rFonts w:ascii="Arial Narrow" w:eastAsia="Calibri" w:hAnsi="Arial Narrow"/>
          <w:b/>
          <w:bCs/>
          <w:szCs w:val="24"/>
          <w:lang w:eastAsia="en-US"/>
        </w:rPr>
      </w:pPr>
    </w:p>
    <w:p w14:paraId="1D974A67" w14:textId="5CEF2313" w:rsidR="00847AB0" w:rsidRPr="00F12251" w:rsidRDefault="00847AB0" w:rsidP="00847AB0">
      <w:pPr>
        <w:spacing w:after="160" w:line="259" w:lineRule="auto"/>
        <w:rPr>
          <w:rFonts w:ascii="Arial Narrow" w:eastAsia="Calibri" w:hAnsi="Arial Narrow"/>
          <w:b/>
          <w:bCs/>
          <w:szCs w:val="24"/>
          <w:lang w:eastAsia="en-US"/>
        </w:rPr>
      </w:pPr>
      <w:r w:rsidRPr="00F12251">
        <w:rPr>
          <w:rFonts w:ascii="Arial Narrow" w:eastAsia="Calibri" w:hAnsi="Arial Narrow"/>
          <w:b/>
          <w:bCs/>
          <w:szCs w:val="24"/>
          <w:lang w:eastAsia="en-US"/>
        </w:rPr>
        <w:t>Il s</w:t>
      </w:r>
      <w:r w:rsidR="00D55857">
        <w:rPr>
          <w:rFonts w:ascii="Arial Narrow" w:eastAsia="Calibri" w:hAnsi="Arial Narrow"/>
          <w:b/>
          <w:bCs/>
          <w:szCs w:val="24"/>
          <w:lang w:eastAsia="en-US"/>
        </w:rPr>
        <w:t xml:space="preserve">’ensuit </w:t>
      </w:r>
      <w:r w:rsidRPr="00F12251">
        <w:rPr>
          <w:rFonts w:ascii="Arial Narrow" w:eastAsia="Calibri" w:hAnsi="Arial Narrow"/>
          <w:b/>
          <w:bCs/>
          <w:szCs w:val="24"/>
          <w:lang w:eastAsia="en-US"/>
        </w:rPr>
        <w:t xml:space="preserve">juridiquement </w:t>
      </w:r>
      <w:r w:rsidR="00AA6FC0">
        <w:rPr>
          <w:rFonts w:ascii="Arial Narrow" w:eastAsia="Calibri" w:hAnsi="Arial Narrow"/>
          <w:b/>
          <w:bCs/>
          <w:szCs w:val="24"/>
          <w:lang w:eastAsia="en-US"/>
        </w:rPr>
        <w:t xml:space="preserve">des trois aspects juridiques détaillés ci-dessus, </w:t>
      </w:r>
      <w:r w:rsidRPr="00F12251">
        <w:rPr>
          <w:rFonts w:ascii="Arial Narrow" w:eastAsia="Calibri" w:hAnsi="Arial Narrow"/>
          <w:b/>
          <w:bCs/>
          <w:szCs w:val="24"/>
          <w:lang w:eastAsia="en-US"/>
        </w:rPr>
        <w:t xml:space="preserve">que </w:t>
      </w:r>
      <w:r w:rsidRPr="00F12251">
        <w:rPr>
          <w:rFonts w:ascii="Arial Narrow" w:eastAsia="Calibri" w:hAnsi="Arial Narrow"/>
          <w:b/>
          <w:bCs/>
          <w:szCs w:val="24"/>
          <w:u w:val="single"/>
          <w:lang w:eastAsia="en-US"/>
        </w:rPr>
        <w:t>l’établissement de crédit ne peut refuser de manière discrétionnaire d’instruire une demande de crédit sollicitée par un Consommateur</w:t>
      </w:r>
      <w:r w:rsidRPr="00F12251">
        <w:rPr>
          <w:rFonts w:ascii="Arial Narrow" w:eastAsia="Calibri" w:hAnsi="Arial Narrow"/>
          <w:b/>
          <w:bCs/>
          <w:szCs w:val="24"/>
          <w:lang w:eastAsia="en-US"/>
        </w:rPr>
        <w:t xml:space="preserve"> pour un quelconque motif, notamment au motif que le Consommateur formule sa demande en la personne d’un Courtier-IOBSP</w:t>
      </w:r>
      <w:r w:rsidR="00C73399">
        <w:rPr>
          <w:rFonts w:ascii="Arial Narrow" w:eastAsia="Calibri" w:hAnsi="Arial Narrow"/>
          <w:b/>
          <w:bCs/>
          <w:szCs w:val="24"/>
          <w:lang w:eastAsia="en-US"/>
        </w:rPr>
        <w:t xml:space="preserve">. Ceci, </w:t>
      </w:r>
      <w:r w:rsidRPr="00F12251">
        <w:rPr>
          <w:rFonts w:ascii="Arial Narrow" w:eastAsia="Calibri" w:hAnsi="Arial Narrow"/>
          <w:b/>
          <w:bCs/>
          <w:szCs w:val="24"/>
          <w:lang w:eastAsia="en-US"/>
        </w:rPr>
        <w:t xml:space="preserve">y compris </w:t>
      </w:r>
      <w:r w:rsidR="00D55857">
        <w:rPr>
          <w:rFonts w:ascii="Arial Narrow" w:eastAsia="Calibri" w:hAnsi="Arial Narrow"/>
          <w:b/>
          <w:bCs/>
          <w:szCs w:val="24"/>
          <w:lang w:eastAsia="en-US"/>
        </w:rPr>
        <w:t>en l’absence de</w:t>
      </w:r>
      <w:r w:rsidRPr="00F12251">
        <w:rPr>
          <w:rFonts w:ascii="Arial Narrow" w:eastAsia="Calibri" w:hAnsi="Arial Narrow"/>
          <w:b/>
          <w:bCs/>
          <w:szCs w:val="24"/>
          <w:lang w:eastAsia="en-US"/>
        </w:rPr>
        <w:t xml:space="preserve"> </w:t>
      </w:r>
      <w:r w:rsidR="00AA6FC0" w:rsidRPr="00AA6FC0">
        <w:rPr>
          <w:rFonts w:ascii="Arial Narrow" w:eastAsia="Calibri" w:hAnsi="Arial Narrow"/>
          <w:b/>
          <w:bCs/>
          <w:i/>
          <w:iCs/>
          <w:szCs w:val="24"/>
          <w:lang w:eastAsia="en-US"/>
        </w:rPr>
        <w:t>« </w:t>
      </w:r>
      <w:r w:rsidRPr="00AA6FC0">
        <w:rPr>
          <w:rFonts w:ascii="Arial Narrow" w:eastAsia="Calibri" w:hAnsi="Arial Narrow"/>
          <w:b/>
          <w:bCs/>
          <w:i/>
          <w:iCs/>
          <w:szCs w:val="24"/>
          <w:lang w:eastAsia="en-US"/>
        </w:rPr>
        <w:t>convention de partenariat</w:t>
      </w:r>
      <w:r w:rsidR="00AA6FC0" w:rsidRPr="00AA6FC0">
        <w:rPr>
          <w:rFonts w:ascii="Arial Narrow" w:eastAsia="Calibri" w:hAnsi="Arial Narrow"/>
          <w:b/>
          <w:bCs/>
          <w:i/>
          <w:iCs/>
          <w:szCs w:val="24"/>
          <w:lang w:eastAsia="en-US"/>
        </w:rPr>
        <w:t> »</w:t>
      </w:r>
      <w:r w:rsidRPr="00F12251">
        <w:rPr>
          <w:rFonts w:ascii="Arial Narrow" w:eastAsia="Calibri" w:hAnsi="Arial Narrow"/>
          <w:b/>
          <w:bCs/>
          <w:szCs w:val="24"/>
          <w:lang w:eastAsia="en-US"/>
        </w:rPr>
        <w:t xml:space="preserve"> avec cet établissement</w:t>
      </w:r>
      <w:r w:rsidR="00D55857">
        <w:rPr>
          <w:rFonts w:ascii="Arial Narrow" w:eastAsia="Calibri" w:hAnsi="Arial Narrow"/>
          <w:b/>
          <w:bCs/>
          <w:szCs w:val="24"/>
          <w:lang w:eastAsia="en-US"/>
        </w:rPr>
        <w:t xml:space="preserve">, comme en regard </w:t>
      </w:r>
      <w:r w:rsidR="00B91D75">
        <w:rPr>
          <w:rFonts w:ascii="Arial Narrow" w:eastAsia="Calibri" w:hAnsi="Arial Narrow"/>
          <w:b/>
          <w:bCs/>
          <w:szCs w:val="24"/>
          <w:lang w:eastAsia="en-US"/>
        </w:rPr>
        <w:t>de</w:t>
      </w:r>
      <w:r w:rsidR="00D55857">
        <w:rPr>
          <w:rFonts w:ascii="Arial Narrow" w:eastAsia="Calibri" w:hAnsi="Arial Narrow"/>
          <w:b/>
          <w:bCs/>
          <w:szCs w:val="24"/>
          <w:lang w:eastAsia="en-US"/>
        </w:rPr>
        <w:t>s</w:t>
      </w:r>
      <w:r w:rsidR="00B91D75">
        <w:rPr>
          <w:rFonts w:ascii="Arial Narrow" w:eastAsia="Calibri" w:hAnsi="Arial Narrow"/>
          <w:b/>
          <w:bCs/>
          <w:szCs w:val="24"/>
          <w:lang w:eastAsia="en-US"/>
        </w:rPr>
        <w:t xml:space="preserve"> normes contraignantes d’accès au crédit immobilier.</w:t>
      </w:r>
      <w:r w:rsidRPr="00F12251">
        <w:rPr>
          <w:rFonts w:ascii="Arial Narrow" w:eastAsia="Calibri" w:hAnsi="Arial Narrow"/>
          <w:b/>
          <w:bCs/>
          <w:szCs w:val="24"/>
          <w:lang w:eastAsia="en-US"/>
        </w:rPr>
        <w:t xml:space="preserve"> Le prêteur dispose du droit d’octroyer ou de refuser le crédit, et non de celui de refuser de manière discrétionnaire d’en instruire la demande. Naturellement, toute pratique d’instructions de demandes de crédits suivies de refus systématiques de crédit, au détriment de Consommateurs présentant leurs demandes de crédits par l’entremise d’un Courtier, équivaudrait à enfreindre identiquement les droits des Consommateurs concernés.</w:t>
      </w:r>
    </w:p>
    <w:p w14:paraId="170D3F44" w14:textId="77777777" w:rsidR="00C73399" w:rsidRDefault="00C73399" w:rsidP="00847AB0">
      <w:pPr>
        <w:rPr>
          <w:rFonts w:ascii="Arial Narrow" w:hAnsi="Arial Narrow"/>
          <w:b/>
          <w:bCs/>
          <w:szCs w:val="24"/>
        </w:rPr>
      </w:pPr>
      <w:bookmarkStart w:id="1" w:name="_Hlk62203467"/>
    </w:p>
    <w:p w14:paraId="2752D3C1" w14:textId="77777777" w:rsidR="00706726" w:rsidRDefault="00706726" w:rsidP="00847AB0">
      <w:pPr>
        <w:rPr>
          <w:rFonts w:ascii="Arial Narrow" w:hAnsi="Arial Narrow"/>
          <w:szCs w:val="24"/>
        </w:rPr>
      </w:pPr>
    </w:p>
    <w:p w14:paraId="1A9695ED" w14:textId="77777777" w:rsidR="00706726" w:rsidRDefault="00706726" w:rsidP="00847AB0">
      <w:pPr>
        <w:rPr>
          <w:rFonts w:ascii="Arial Narrow" w:hAnsi="Arial Narrow"/>
          <w:szCs w:val="24"/>
        </w:rPr>
      </w:pPr>
    </w:p>
    <w:p w14:paraId="5C15452D" w14:textId="77777777" w:rsidR="00706726" w:rsidRDefault="00706726" w:rsidP="00847AB0">
      <w:pPr>
        <w:rPr>
          <w:rFonts w:ascii="Arial Narrow" w:hAnsi="Arial Narrow"/>
          <w:szCs w:val="24"/>
        </w:rPr>
      </w:pPr>
    </w:p>
    <w:p w14:paraId="5601A120" w14:textId="77777777" w:rsidR="00706726" w:rsidRDefault="00706726" w:rsidP="00847AB0">
      <w:pPr>
        <w:rPr>
          <w:rFonts w:ascii="Arial Narrow" w:hAnsi="Arial Narrow"/>
          <w:szCs w:val="24"/>
        </w:rPr>
      </w:pPr>
    </w:p>
    <w:p w14:paraId="6A3DF47C" w14:textId="77777777" w:rsidR="00706726" w:rsidRDefault="00706726" w:rsidP="00847AB0">
      <w:pPr>
        <w:rPr>
          <w:rFonts w:ascii="Arial Narrow" w:hAnsi="Arial Narrow"/>
          <w:szCs w:val="24"/>
        </w:rPr>
      </w:pPr>
    </w:p>
    <w:p w14:paraId="5798F364" w14:textId="77777777" w:rsidR="00706726" w:rsidRDefault="00706726" w:rsidP="00847AB0">
      <w:pPr>
        <w:rPr>
          <w:rFonts w:ascii="Arial Narrow" w:hAnsi="Arial Narrow"/>
          <w:szCs w:val="24"/>
        </w:rPr>
      </w:pPr>
    </w:p>
    <w:p w14:paraId="14695832" w14:textId="77777777" w:rsidR="00706726" w:rsidRDefault="00706726" w:rsidP="00847AB0">
      <w:pPr>
        <w:rPr>
          <w:rFonts w:ascii="Arial Narrow" w:hAnsi="Arial Narrow"/>
          <w:szCs w:val="24"/>
        </w:rPr>
      </w:pPr>
    </w:p>
    <w:p w14:paraId="64B192C9" w14:textId="77777777" w:rsidR="00706726" w:rsidRDefault="00706726" w:rsidP="00847AB0">
      <w:pPr>
        <w:rPr>
          <w:rFonts w:ascii="Arial Narrow" w:hAnsi="Arial Narrow"/>
          <w:szCs w:val="24"/>
        </w:rPr>
      </w:pPr>
    </w:p>
    <w:p w14:paraId="30E0F045" w14:textId="77777777" w:rsidR="002247CB" w:rsidRDefault="002247CB" w:rsidP="00847AB0">
      <w:pPr>
        <w:rPr>
          <w:rFonts w:ascii="Arial Narrow" w:hAnsi="Arial Narrow"/>
          <w:szCs w:val="24"/>
        </w:rPr>
      </w:pPr>
    </w:p>
    <w:p w14:paraId="439F99D4" w14:textId="343ED5FD" w:rsidR="00847AB0" w:rsidRPr="00F12251" w:rsidRDefault="00847AB0" w:rsidP="00847AB0">
      <w:pPr>
        <w:rPr>
          <w:rFonts w:ascii="Arial Narrow" w:hAnsi="Arial Narrow"/>
          <w:b/>
        </w:rPr>
      </w:pPr>
      <w:r w:rsidRPr="00F12251">
        <w:rPr>
          <w:rFonts w:ascii="Arial Narrow" w:hAnsi="Arial Narrow"/>
          <w:szCs w:val="24"/>
        </w:rPr>
        <w:lastRenderedPageBreak/>
        <w:t xml:space="preserve">En conséquence et par </w:t>
      </w:r>
      <w:r w:rsidRPr="00F12251">
        <w:rPr>
          <w:rFonts w:ascii="Arial Narrow" w:hAnsi="Arial Narrow"/>
        </w:rPr>
        <w:t xml:space="preserve">suite de ce qui précède, </w:t>
      </w:r>
      <w:r w:rsidR="00C73399">
        <w:rPr>
          <w:rFonts w:ascii="Arial Narrow" w:hAnsi="Arial Narrow"/>
        </w:rPr>
        <w:t xml:space="preserve">je vous </w:t>
      </w:r>
      <w:r w:rsidRPr="00F12251">
        <w:rPr>
          <w:rFonts w:ascii="Arial Narrow" w:hAnsi="Arial Narrow"/>
        </w:rPr>
        <w:t>demand</w:t>
      </w:r>
      <w:r w:rsidR="00C73399">
        <w:rPr>
          <w:rFonts w:ascii="Arial Narrow" w:hAnsi="Arial Narrow"/>
        </w:rPr>
        <w:t>e</w:t>
      </w:r>
      <w:r w:rsidR="002247CB">
        <w:rPr>
          <w:rFonts w:ascii="Arial Narrow" w:hAnsi="Arial Narrow"/>
        </w:rPr>
        <w:t> :</w:t>
      </w:r>
    </w:p>
    <w:p w14:paraId="5F8C7DBC" w14:textId="64AB3B3E" w:rsidR="00847AB0" w:rsidRDefault="002247CB" w:rsidP="00C73399">
      <w:pPr>
        <w:pStyle w:val="Paragraphedeliste"/>
        <w:numPr>
          <w:ilvl w:val="0"/>
          <w:numId w:val="1"/>
        </w:numPr>
        <w:contextualSpacing/>
        <w:rPr>
          <w:rFonts w:ascii="Arial Narrow" w:hAnsi="Arial Narrow"/>
        </w:rPr>
      </w:pPr>
      <w:r>
        <w:rPr>
          <w:rFonts w:ascii="Arial Narrow" w:hAnsi="Arial Narrow"/>
        </w:rPr>
        <w:t xml:space="preserve">De </w:t>
      </w:r>
      <w:r w:rsidR="00847AB0" w:rsidRPr="00F12251">
        <w:rPr>
          <w:rFonts w:ascii="Arial Narrow" w:hAnsi="Arial Narrow"/>
        </w:rPr>
        <w:t xml:space="preserve">recevoir </w:t>
      </w:r>
      <w:r w:rsidR="00C73399">
        <w:rPr>
          <w:rFonts w:ascii="Arial Narrow" w:hAnsi="Arial Narrow"/>
        </w:rPr>
        <w:t>le présent signalement et de lui donner la suite qu’il convient,</w:t>
      </w:r>
    </w:p>
    <w:p w14:paraId="0060F677" w14:textId="658DD087" w:rsidR="00C73399" w:rsidRDefault="002247CB" w:rsidP="00C73399">
      <w:pPr>
        <w:pStyle w:val="Paragraphedeliste"/>
        <w:numPr>
          <w:ilvl w:val="0"/>
          <w:numId w:val="1"/>
        </w:numPr>
        <w:contextualSpacing/>
        <w:rPr>
          <w:rFonts w:ascii="Arial Narrow" w:hAnsi="Arial Narrow"/>
        </w:rPr>
      </w:pPr>
      <w:r>
        <w:rPr>
          <w:rFonts w:ascii="Arial Narrow" w:hAnsi="Arial Narrow"/>
        </w:rPr>
        <w:t xml:space="preserve">De </w:t>
      </w:r>
      <w:r w:rsidR="00C73399">
        <w:rPr>
          <w:rFonts w:ascii="Arial Narrow" w:hAnsi="Arial Narrow"/>
        </w:rPr>
        <w:t>diligenter une enquête quant aux pratiques commerciales de l’établissement de crédit agréé mentionné,</w:t>
      </w:r>
      <w:r>
        <w:rPr>
          <w:rFonts w:ascii="Arial Narrow" w:hAnsi="Arial Narrow"/>
        </w:rPr>
        <w:t xml:space="preserve"> en matière d’instruction des demandes de crédit immobilier provenant de Consommateurs et de pratiques de concurrence en distribution du crédit,</w:t>
      </w:r>
    </w:p>
    <w:p w14:paraId="0478A1C5" w14:textId="3B546397" w:rsidR="00C73399" w:rsidRDefault="002247CB" w:rsidP="00C73399">
      <w:pPr>
        <w:pStyle w:val="Paragraphedeliste"/>
        <w:numPr>
          <w:ilvl w:val="0"/>
          <w:numId w:val="1"/>
        </w:numPr>
        <w:contextualSpacing/>
        <w:rPr>
          <w:rFonts w:ascii="Arial Narrow" w:hAnsi="Arial Narrow"/>
        </w:rPr>
      </w:pPr>
      <w:r>
        <w:rPr>
          <w:rFonts w:ascii="Arial Narrow" w:hAnsi="Arial Narrow"/>
        </w:rPr>
        <w:t>D’</w:t>
      </w:r>
      <w:r w:rsidR="008625FE">
        <w:rPr>
          <w:rFonts w:ascii="Arial Narrow" w:hAnsi="Arial Narrow"/>
        </w:rPr>
        <w:t>informer l’Autorité de la concurrence, afin qu’elle puisse, le cas échéant, se saisir d’office.</w:t>
      </w:r>
    </w:p>
    <w:p w14:paraId="050E2A1D" w14:textId="0B72403A" w:rsidR="008625FE" w:rsidRDefault="008625FE" w:rsidP="008625FE">
      <w:pPr>
        <w:pStyle w:val="Paragraphedeliste"/>
        <w:ind w:left="720"/>
        <w:contextualSpacing/>
        <w:rPr>
          <w:rFonts w:ascii="Arial Narrow" w:hAnsi="Arial Narrow"/>
        </w:rPr>
      </w:pPr>
    </w:p>
    <w:p w14:paraId="3916B28F" w14:textId="0B5905DC" w:rsidR="008625FE" w:rsidRDefault="008625FE" w:rsidP="008625FE">
      <w:pPr>
        <w:pStyle w:val="Paragraphedeliste"/>
        <w:ind w:left="720"/>
        <w:contextualSpacing/>
        <w:rPr>
          <w:rFonts w:ascii="Arial Narrow" w:hAnsi="Arial Narrow"/>
        </w:rPr>
      </w:pPr>
    </w:p>
    <w:p w14:paraId="71427E6B" w14:textId="1EF8C33D" w:rsidR="00706726" w:rsidRDefault="00706726" w:rsidP="008625FE">
      <w:pPr>
        <w:pStyle w:val="Paragraphedeliste"/>
        <w:ind w:left="720"/>
        <w:contextualSpacing/>
        <w:rPr>
          <w:rFonts w:ascii="Arial Narrow" w:hAnsi="Arial Narrow"/>
        </w:rPr>
      </w:pPr>
    </w:p>
    <w:p w14:paraId="4866B215" w14:textId="26CAAEF1" w:rsidR="00706726" w:rsidRDefault="00706726" w:rsidP="008625FE">
      <w:pPr>
        <w:pStyle w:val="Paragraphedeliste"/>
        <w:ind w:left="720"/>
        <w:contextualSpacing/>
        <w:rPr>
          <w:rFonts w:ascii="Arial Narrow" w:hAnsi="Arial Narrow"/>
        </w:rPr>
      </w:pPr>
    </w:p>
    <w:p w14:paraId="2BC06FBD" w14:textId="77777777" w:rsidR="00847AB0" w:rsidRPr="00F12251" w:rsidRDefault="00847AB0" w:rsidP="00847AB0">
      <w:pPr>
        <w:rPr>
          <w:rFonts w:ascii="Arial Narrow" w:hAnsi="Arial Narrow"/>
        </w:rPr>
      </w:pPr>
    </w:p>
    <w:p w14:paraId="108B625B" w14:textId="16ECF10F" w:rsidR="00847AB0" w:rsidRDefault="00847AB0" w:rsidP="00847AB0">
      <w:pPr>
        <w:rPr>
          <w:rFonts w:ascii="Arial Narrow" w:hAnsi="Arial Narrow"/>
          <w:szCs w:val="24"/>
        </w:rPr>
      </w:pPr>
      <w:r w:rsidRPr="00F12251">
        <w:rPr>
          <w:rFonts w:ascii="Arial Narrow" w:hAnsi="Arial Narrow"/>
          <w:szCs w:val="24"/>
        </w:rPr>
        <w:t xml:space="preserve">Je </w:t>
      </w:r>
      <w:r w:rsidR="00C73399">
        <w:rPr>
          <w:rFonts w:ascii="Arial Narrow" w:hAnsi="Arial Narrow"/>
          <w:szCs w:val="24"/>
        </w:rPr>
        <w:t xml:space="preserve">me tiens à votre disposition pour toute précision complémentaire ; et </w:t>
      </w:r>
      <w:r w:rsidRPr="00F12251">
        <w:rPr>
          <w:rFonts w:ascii="Arial Narrow" w:hAnsi="Arial Narrow"/>
          <w:szCs w:val="24"/>
        </w:rPr>
        <w:t xml:space="preserve">vous prie de croire, </w:t>
      </w:r>
      <w:r w:rsidR="00C73399">
        <w:rPr>
          <w:rFonts w:ascii="Arial Narrow" w:hAnsi="Arial Narrow"/>
          <w:szCs w:val="24"/>
        </w:rPr>
        <w:t>Madame, Monsieur</w:t>
      </w:r>
      <w:r w:rsidRPr="00F12251">
        <w:rPr>
          <w:rFonts w:ascii="Arial Narrow" w:hAnsi="Arial Narrow"/>
          <w:szCs w:val="24"/>
        </w:rPr>
        <w:t>, à l’expression de ma respectueuse con</w:t>
      </w:r>
      <w:r w:rsidR="00C73399">
        <w:rPr>
          <w:rFonts w:ascii="Arial Narrow" w:hAnsi="Arial Narrow"/>
          <w:szCs w:val="24"/>
        </w:rPr>
        <w:t>sidération.</w:t>
      </w:r>
    </w:p>
    <w:p w14:paraId="1AE89B93" w14:textId="5D938958" w:rsidR="00C73399" w:rsidRDefault="00C73399" w:rsidP="00847AB0">
      <w:pPr>
        <w:rPr>
          <w:rFonts w:ascii="Arial Narrow" w:hAnsi="Arial Narrow"/>
          <w:szCs w:val="24"/>
        </w:rPr>
      </w:pPr>
    </w:p>
    <w:p w14:paraId="0008DFE5" w14:textId="507F7996" w:rsidR="00C73399" w:rsidRDefault="00C73399" w:rsidP="00847AB0">
      <w:pPr>
        <w:rPr>
          <w:rFonts w:ascii="Arial Narrow" w:hAnsi="Arial Narrow"/>
          <w:szCs w:val="24"/>
        </w:rPr>
      </w:pPr>
    </w:p>
    <w:p w14:paraId="4568473C" w14:textId="24AD661D" w:rsidR="00C73399" w:rsidRDefault="00C73399" w:rsidP="00847AB0">
      <w:pPr>
        <w:rPr>
          <w:rFonts w:ascii="Arial Narrow" w:hAnsi="Arial Narrow"/>
          <w:szCs w:val="24"/>
        </w:rPr>
      </w:pPr>
    </w:p>
    <w:p w14:paraId="2B3329BF" w14:textId="64D55B9A" w:rsidR="00706726" w:rsidRDefault="00706726" w:rsidP="00847AB0">
      <w:pPr>
        <w:rPr>
          <w:rFonts w:ascii="Arial Narrow" w:hAnsi="Arial Narrow"/>
          <w:szCs w:val="24"/>
        </w:rPr>
      </w:pPr>
    </w:p>
    <w:p w14:paraId="68280D44" w14:textId="6391E03D" w:rsidR="00706726" w:rsidRDefault="00706726" w:rsidP="00847AB0">
      <w:pPr>
        <w:rPr>
          <w:rFonts w:ascii="Arial Narrow" w:hAnsi="Arial Narrow"/>
          <w:szCs w:val="24"/>
        </w:rPr>
      </w:pPr>
    </w:p>
    <w:p w14:paraId="6E546BA2" w14:textId="37B22023" w:rsidR="00706726" w:rsidRDefault="00706726" w:rsidP="00847AB0">
      <w:pPr>
        <w:rPr>
          <w:rFonts w:ascii="Arial Narrow" w:hAnsi="Arial Narrow"/>
          <w:szCs w:val="24"/>
        </w:rPr>
      </w:pPr>
    </w:p>
    <w:p w14:paraId="4787A2F9" w14:textId="77777777" w:rsidR="00706726" w:rsidRDefault="00706726" w:rsidP="00847AB0">
      <w:pPr>
        <w:rPr>
          <w:rFonts w:ascii="Arial Narrow" w:hAnsi="Arial Narrow"/>
          <w:szCs w:val="24"/>
        </w:rPr>
      </w:pPr>
    </w:p>
    <w:p w14:paraId="1E723F39" w14:textId="2926F9EA" w:rsidR="00C73399" w:rsidRDefault="00C73399" w:rsidP="00847AB0">
      <w:pPr>
        <w:rPr>
          <w:rFonts w:ascii="Arial Narrow" w:hAnsi="Arial Narrow"/>
          <w:szCs w:val="24"/>
        </w:rPr>
      </w:pPr>
    </w:p>
    <w:p w14:paraId="574E5C06" w14:textId="742D4019" w:rsidR="00C73399" w:rsidRDefault="00C73399" w:rsidP="00847AB0">
      <w:pPr>
        <w:rPr>
          <w:rFonts w:ascii="Arial Narrow" w:hAnsi="Arial Narrow"/>
          <w:szCs w:val="24"/>
        </w:rPr>
      </w:pPr>
    </w:p>
    <w:p w14:paraId="0700EAD5" w14:textId="493DA8A6" w:rsidR="00C73399" w:rsidRDefault="00C73399" w:rsidP="00847AB0">
      <w:pPr>
        <w:rPr>
          <w:rFonts w:ascii="Arial Narrow" w:hAnsi="Arial Narrow"/>
          <w:szCs w:val="24"/>
        </w:rPr>
      </w:pPr>
    </w:p>
    <w:p w14:paraId="46EFE205" w14:textId="7BBEBDD8" w:rsidR="00C73399" w:rsidRDefault="00C73399" w:rsidP="00847AB0">
      <w:pPr>
        <w:rPr>
          <w:rFonts w:ascii="Arial Narrow" w:hAnsi="Arial Narrow"/>
          <w:szCs w:val="24"/>
        </w:rPr>
      </w:pPr>
    </w:p>
    <w:p w14:paraId="5F85F41D" w14:textId="77777777" w:rsidR="00C73399" w:rsidRDefault="00C73399" w:rsidP="00847AB0">
      <w:pPr>
        <w:rPr>
          <w:rFonts w:ascii="Arial Narrow" w:hAnsi="Arial Narrow"/>
          <w:szCs w:val="24"/>
        </w:rPr>
      </w:pPr>
    </w:p>
    <w:p w14:paraId="5381D1C2" w14:textId="3BB651AC" w:rsidR="00C73399" w:rsidRPr="00F12251" w:rsidRDefault="00C73399" w:rsidP="00C73399">
      <w:pPr>
        <w:ind w:left="5664" w:firstLine="708"/>
        <w:rPr>
          <w:rFonts w:ascii="Arial Narrow" w:hAnsi="Arial Narrow"/>
          <w:szCs w:val="24"/>
        </w:rPr>
      </w:pPr>
      <w:r>
        <w:rPr>
          <w:rFonts w:ascii="Arial Narrow" w:hAnsi="Arial Narrow"/>
          <w:szCs w:val="24"/>
        </w:rPr>
        <w:t>[SIGNATURE]</w:t>
      </w:r>
    </w:p>
    <w:bookmarkEnd w:id="1"/>
    <w:p w14:paraId="4E48F57B" w14:textId="77777777" w:rsidR="00847AB0" w:rsidRPr="00F12251" w:rsidRDefault="00847AB0" w:rsidP="00847AB0">
      <w:pPr>
        <w:rPr>
          <w:rFonts w:ascii="Arial Narrow" w:hAnsi="Arial Narrow"/>
          <w:szCs w:val="24"/>
        </w:rPr>
      </w:pPr>
    </w:p>
    <w:p w14:paraId="34FD3ED4" w14:textId="77777777" w:rsidR="001A045F" w:rsidRPr="00F12251" w:rsidRDefault="001A045F">
      <w:pPr>
        <w:rPr>
          <w:rFonts w:ascii="Arial Narrow" w:hAnsi="Arial Narrow"/>
        </w:rPr>
      </w:pPr>
    </w:p>
    <w:sectPr w:rsidR="001A045F" w:rsidRPr="00F122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1F15" w14:textId="77777777" w:rsidR="008974CC" w:rsidRDefault="008974CC" w:rsidP="00F12251">
      <w:r>
        <w:separator/>
      </w:r>
    </w:p>
  </w:endnote>
  <w:endnote w:type="continuationSeparator" w:id="0">
    <w:p w14:paraId="60630A92" w14:textId="77777777" w:rsidR="008974CC" w:rsidRDefault="008974CC" w:rsidP="00F1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rPr>
      <w:id w:val="-317653818"/>
      <w:docPartObj>
        <w:docPartGallery w:val="Page Numbers (Bottom of Page)"/>
        <w:docPartUnique/>
      </w:docPartObj>
    </w:sdtPr>
    <w:sdtEndPr>
      <w:rPr>
        <w:sz w:val="16"/>
        <w:szCs w:val="16"/>
      </w:rPr>
    </w:sdtEndPr>
    <w:sdtContent>
      <w:p w14:paraId="76CABFE4" w14:textId="7076F351" w:rsidR="00F12251" w:rsidRPr="00F12251" w:rsidRDefault="00F12251">
        <w:pPr>
          <w:pStyle w:val="Pieddepage"/>
          <w:jc w:val="right"/>
          <w:rPr>
            <w:rFonts w:ascii="Arial Narrow" w:hAnsi="Arial Narrow"/>
            <w:sz w:val="16"/>
            <w:szCs w:val="16"/>
          </w:rPr>
        </w:pPr>
        <w:r w:rsidRPr="00F12251">
          <w:rPr>
            <w:rFonts w:ascii="Arial Narrow" w:hAnsi="Arial Narrow"/>
            <w:sz w:val="16"/>
            <w:szCs w:val="16"/>
          </w:rPr>
          <w:t xml:space="preserve">Refus d’instruction d’une demande de prêt immobilier. Courrier de réclamation, de demande d’enquête et de saisine. </w:t>
        </w:r>
        <w:sdt>
          <w:sdtPr>
            <w:rPr>
              <w:rFonts w:ascii="Arial Narrow" w:hAnsi="Arial Narrow"/>
              <w:sz w:val="16"/>
              <w:szCs w:val="16"/>
            </w:rPr>
            <w:id w:val="-1769616900"/>
            <w:docPartObj>
              <w:docPartGallery w:val="Page Numbers (Top of Page)"/>
              <w:docPartUnique/>
            </w:docPartObj>
          </w:sdtPr>
          <w:sdtContent>
            <w:r w:rsidRPr="00F12251">
              <w:rPr>
                <w:rFonts w:ascii="Arial Narrow" w:hAnsi="Arial Narrow"/>
                <w:sz w:val="16"/>
                <w:szCs w:val="16"/>
              </w:rPr>
              <w:t xml:space="preserve">Page </w:t>
            </w:r>
            <w:r w:rsidRPr="00F12251">
              <w:rPr>
                <w:rFonts w:ascii="Arial Narrow" w:hAnsi="Arial Narrow"/>
                <w:b/>
                <w:bCs/>
                <w:sz w:val="16"/>
                <w:szCs w:val="16"/>
              </w:rPr>
              <w:fldChar w:fldCharType="begin"/>
            </w:r>
            <w:r w:rsidRPr="00F12251">
              <w:rPr>
                <w:rFonts w:ascii="Arial Narrow" w:hAnsi="Arial Narrow"/>
                <w:b/>
                <w:bCs/>
                <w:sz w:val="16"/>
                <w:szCs w:val="16"/>
              </w:rPr>
              <w:instrText>PAGE</w:instrText>
            </w:r>
            <w:r w:rsidRPr="00F12251">
              <w:rPr>
                <w:rFonts w:ascii="Arial Narrow" w:hAnsi="Arial Narrow"/>
                <w:b/>
                <w:bCs/>
                <w:sz w:val="16"/>
                <w:szCs w:val="16"/>
              </w:rPr>
              <w:fldChar w:fldCharType="separate"/>
            </w:r>
            <w:r w:rsidRPr="00F12251">
              <w:rPr>
                <w:rFonts w:ascii="Arial Narrow" w:hAnsi="Arial Narrow"/>
                <w:b/>
                <w:bCs/>
                <w:sz w:val="16"/>
                <w:szCs w:val="16"/>
              </w:rPr>
              <w:t>2</w:t>
            </w:r>
            <w:r w:rsidRPr="00F12251">
              <w:rPr>
                <w:rFonts w:ascii="Arial Narrow" w:hAnsi="Arial Narrow"/>
                <w:b/>
                <w:bCs/>
                <w:sz w:val="16"/>
                <w:szCs w:val="16"/>
              </w:rPr>
              <w:fldChar w:fldCharType="end"/>
            </w:r>
            <w:r w:rsidRPr="00F12251">
              <w:rPr>
                <w:rFonts w:ascii="Arial Narrow" w:hAnsi="Arial Narrow"/>
                <w:sz w:val="16"/>
                <w:szCs w:val="16"/>
              </w:rPr>
              <w:t xml:space="preserve"> sur </w:t>
            </w:r>
            <w:r w:rsidRPr="00F12251">
              <w:rPr>
                <w:rFonts w:ascii="Arial Narrow" w:hAnsi="Arial Narrow"/>
                <w:b/>
                <w:bCs/>
                <w:sz w:val="16"/>
                <w:szCs w:val="16"/>
              </w:rPr>
              <w:fldChar w:fldCharType="begin"/>
            </w:r>
            <w:r w:rsidRPr="00F12251">
              <w:rPr>
                <w:rFonts w:ascii="Arial Narrow" w:hAnsi="Arial Narrow"/>
                <w:b/>
                <w:bCs/>
                <w:sz w:val="16"/>
                <w:szCs w:val="16"/>
              </w:rPr>
              <w:instrText>NUMPAGES</w:instrText>
            </w:r>
            <w:r w:rsidRPr="00F12251">
              <w:rPr>
                <w:rFonts w:ascii="Arial Narrow" w:hAnsi="Arial Narrow"/>
                <w:b/>
                <w:bCs/>
                <w:sz w:val="16"/>
                <w:szCs w:val="16"/>
              </w:rPr>
              <w:fldChar w:fldCharType="separate"/>
            </w:r>
            <w:r w:rsidRPr="00F12251">
              <w:rPr>
                <w:rFonts w:ascii="Arial Narrow" w:hAnsi="Arial Narrow"/>
                <w:b/>
                <w:bCs/>
                <w:sz w:val="16"/>
                <w:szCs w:val="16"/>
              </w:rPr>
              <w:t>2</w:t>
            </w:r>
            <w:r w:rsidRPr="00F12251">
              <w:rPr>
                <w:rFonts w:ascii="Arial Narrow" w:hAnsi="Arial Narrow"/>
                <w:b/>
                <w:bCs/>
                <w:sz w:val="16"/>
                <w:szCs w:val="16"/>
              </w:rPr>
              <w:fldChar w:fldCharType="end"/>
            </w:r>
          </w:sdtContent>
        </w:sdt>
      </w:p>
    </w:sdtContent>
  </w:sdt>
  <w:p w14:paraId="24161196" w14:textId="77777777" w:rsidR="00F12251" w:rsidRDefault="00F122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61DD" w14:textId="77777777" w:rsidR="008974CC" w:rsidRDefault="008974CC" w:rsidP="00F12251">
      <w:r>
        <w:separator/>
      </w:r>
    </w:p>
  </w:footnote>
  <w:footnote w:type="continuationSeparator" w:id="0">
    <w:p w14:paraId="248FC28D" w14:textId="77777777" w:rsidR="008974CC" w:rsidRDefault="008974CC" w:rsidP="00F12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F11EB"/>
    <w:multiLevelType w:val="hybridMultilevel"/>
    <w:tmpl w:val="459E4380"/>
    <w:lvl w:ilvl="0" w:tplc="CBF04004">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3C68FD"/>
    <w:multiLevelType w:val="hybridMultilevel"/>
    <w:tmpl w:val="0DD8529C"/>
    <w:lvl w:ilvl="0" w:tplc="67B857C8">
      <w:start w:val="7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0430476">
    <w:abstractNumId w:val="0"/>
  </w:num>
  <w:num w:numId="2" w16cid:durableId="161240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5F"/>
    <w:rsid w:val="001574A5"/>
    <w:rsid w:val="001702E2"/>
    <w:rsid w:val="001A045F"/>
    <w:rsid w:val="002247CB"/>
    <w:rsid w:val="0055765B"/>
    <w:rsid w:val="00706726"/>
    <w:rsid w:val="00831ADE"/>
    <w:rsid w:val="00847AB0"/>
    <w:rsid w:val="008625FE"/>
    <w:rsid w:val="008974CC"/>
    <w:rsid w:val="00991941"/>
    <w:rsid w:val="00AA6FC0"/>
    <w:rsid w:val="00B91D75"/>
    <w:rsid w:val="00BD2709"/>
    <w:rsid w:val="00C73399"/>
    <w:rsid w:val="00D55857"/>
    <w:rsid w:val="00E725A2"/>
    <w:rsid w:val="00F12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A8A1"/>
  <w15:chartTrackingRefBased/>
  <w15:docId w15:val="{38669719-178A-4CB7-A035-7757D0E9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AB0"/>
    <w:pPr>
      <w:spacing w:after="0" w:line="240" w:lineRule="auto"/>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847AB0"/>
    <w:pPr>
      <w:ind w:left="708"/>
    </w:pPr>
  </w:style>
  <w:style w:type="paragraph" w:styleId="En-tte">
    <w:name w:val="header"/>
    <w:basedOn w:val="Normal"/>
    <w:link w:val="En-tteCar"/>
    <w:uiPriority w:val="99"/>
    <w:unhideWhenUsed/>
    <w:rsid w:val="00F12251"/>
    <w:pPr>
      <w:tabs>
        <w:tab w:val="center" w:pos="4536"/>
        <w:tab w:val="right" w:pos="9072"/>
      </w:tabs>
    </w:pPr>
  </w:style>
  <w:style w:type="character" w:customStyle="1" w:styleId="En-tteCar">
    <w:name w:val="En-tête Car"/>
    <w:basedOn w:val="Policepardfaut"/>
    <w:link w:val="En-tte"/>
    <w:uiPriority w:val="99"/>
    <w:rsid w:val="00F12251"/>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F12251"/>
    <w:pPr>
      <w:tabs>
        <w:tab w:val="center" w:pos="4536"/>
        <w:tab w:val="right" w:pos="9072"/>
      </w:tabs>
    </w:pPr>
  </w:style>
  <w:style w:type="character" w:customStyle="1" w:styleId="PieddepageCar">
    <w:name w:val="Pied de page Car"/>
    <w:basedOn w:val="Policepardfaut"/>
    <w:link w:val="Pieddepage"/>
    <w:uiPriority w:val="99"/>
    <w:rsid w:val="00F12251"/>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073C-E1B3-476B-9276-4B910215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2101</Words>
  <Characters>11557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DENIS</dc:creator>
  <cp:keywords/>
  <dc:description/>
  <cp:lastModifiedBy>Laurent DENIS</cp:lastModifiedBy>
  <cp:revision>2</cp:revision>
  <cp:lastPrinted>2023-01-08T10:46:00Z</cp:lastPrinted>
  <dcterms:created xsi:type="dcterms:W3CDTF">2023-01-08T10:48:00Z</dcterms:created>
  <dcterms:modified xsi:type="dcterms:W3CDTF">2023-01-08T10:48:00Z</dcterms:modified>
</cp:coreProperties>
</file>